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25FC3D">
      <w:pPr>
        <w:keepNext w:val="0"/>
        <w:keepLines w:val="0"/>
        <w:pageBreakBefore w:val="0"/>
        <w:kinsoku/>
        <w:wordWrap/>
        <w:overflowPunct/>
        <w:topLinePunct w:val="0"/>
        <w:bidi w:val="0"/>
        <w:adjustRightInd w:val="0"/>
        <w:snapToGrid w:val="0"/>
        <w:spacing w:line="520" w:lineRule="exact"/>
        <w:jc w:val="center"/>
        <w:textAlignment w:val="auto"/>
        <w:rPr>
          <w:rFonts w:hint="eastAsia" w:ascii="方正小标宋_GBK" w:hAnsi="方正小标宋_GBK" w:eastAsia="方正小标宋_GBK" w:cs="方正小标宋_GBK"/>
          <w:bCs/>
          <w:color w:val="auto"/>
          <w:sz w:val="44"/>
          <w:szCs w:val="44"/>
        </w:rPr>
      </w:pPr>
      <w:r>
        <w:rPr>
          <w:rFonts w:hint="eastAsia" w:ascii="方正小标宋_GBK" w:hAnsi="方正小标宋_GBK" w:eastAsia="方正小标宋_GBK" w:cs="方正小标宋_GBK"/>
          <w:bCs/>
          <w:color w:val="auto"/>
          <w:sz w:val="44"/>
          <w:szCs w:val="44"/>
        </w:rPr>
        <w:t>九原区国土绿化暨农村牧区通道绿化和村屯</w:t>
      </w:r>
    </w:p>
    <w:p w14:paraId="6B31F4B4">
      <w:pPr>
        <w:keepNext w:val="0"/>
        <w:keepLines w:val="0"/>
        <w:pageBreakBefore w:val="0"/>
        <w:kinsoku/>
        <w:wordWrap/>
        <w:overflowPunct/>
        <w:topLinePunct w:val="0"/>
        <w:bidi w:val="0"/>
        <w:adjustRightInd w:val="0"/>
        <w:snapToGrid w:val="0"/>
        <w:spacing w:line="520" w:lineRule="exact"/>
        <w:jc w:val="center"/>
        <w:textAlignment w:val="auto"/>
        <w:rPr>
          <w:rFonts w:hint="eastAsia" w:ascii="方正小标宋_GBK" w:hAnsi="方正小标宋_GBK" w:eastAsia="方正小标宋_GBK" w:cs="方正小标宋_GBK"/>
          <w:bCs/>
          <w:color w:val="auto"/>
          <w:sz w:val="44"/>
          <w:szCs w:val="44"/>
        </w:rPr>
      </w:pPr>
      <w:r>
        <w:rPr>
          <w:rFonts w:hint="eastAsia" w:ascii="方正小标宋_GBK" w:hAnsi="方正小标宋_GBK" w:eastAsia="方正小标宋_GBK" w:cs="方正小标宋_GBK"/>
          <w:bCs/>
          <w:color w:val="auto"/>
          <w:sz w:val="44"/>
          <w:szCs w:val="44"/>
        </w:rPr>
        <w:t>绿化树木养护方案（2026—2029年）</w:t>
      </w:r>
    </w:p>
    <w:p w14:paraId="69202FD2">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00" w:firstLineChars="200"/>
        <w:jc w:val="both"/>
        <w:textAlignment w:val="auto"/>
        <w:rPr>
          <w:rFonts w:hint="eastAsia" w:ascii="Times New Roman" w:hAnsi="Times New Roman" w:eastAsia="仿宋_GB2312" w:cs="Times New Roman"/>
          <w:color w:val="auto"/>
          <w:spacing w:val="0"/>
          <w:kern w:val="0"/>
          <w:sz w:val="30"/>
          <w:szCs w:val="32"/>
          <w:lang w:val="en-US" w:eastAsia="zh-CN"/>
        </w:rPr>
      </w:pPr>
    </w:p>
    <w:p w14:paraId="55CF4A2F">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00" w:firstLineChars="200"/>
        <w:jc w:val="both"/>
        <w:textAlignment w:val="auto"/>
        <w:rPr>
          <w:rFonts w:hint="eastAsia" w:ascii="Times New Roman" w:hAnsi="Times New Roman" w:eastAsia="仿宋_GB2312" w:cs="Times New Roman"/>
          <w:color w:val="auto"/>
          <w:spacing w:val="0"/>
          <w:kern w:val="0"/>
          <w:sz w:val="30"/>
          <w:szCs w:val="32"/>
          <w:lang w:val="en-US" w:eastAsia="zh-CN"/>
        </w:rPr>
      </w:pPr>
      <w:r>
        <w:rPr>
          <w:rFonts w:hint="eastAsia" w:ascii="Times New Roman" w:hAnsi="Times New Roman" w:eastAsia="仿宋_GB2312" w:cs="Times New Roman"/>
          <w:color w:val="auto"/>
          <w:spacing w:val="0"/>
          <w:kern w:val="0"/>
          <w:sz w:val="30"/>
          <w:szCs w:val="32"/>
          <w:lang w:val="en-US" w:eastAsia="zh-CN"/>
        </w:rPr>
        <w:t>2023年6月6日，中共中央总书记、国家主席、中央军委主席习近平近日在内蒙古自治区巴彦淖尔市考察，主持召开加强荒漠化综合防治和推进“三北”等重点生态工程建设座谈会并发表重要讲话。他强调，加强荒漠化综合防治，深入推进“三北”等重点生态工程建设，事关我国生态安全、事关强国建设、事关中华民族永续发展，是一项功在当代、利在千秋的崇高事业。要勇担使命、不畏艰辛、久久为功，努力创造新时代中国防沙治沙新奇迹，把祖国北疆这道万里绿色屏障构筑得更加牢固，在建设美丽中国上取得更大成就。</w:t>
      </w:r>
    </w:p>
    <w:p w14:paraId="06A0E630">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00" w:firstLineChars="200"/>
        <w:jc w:val="both"/>
        <w:textAlignment w:val="auto"/>
        <w:rPr>
          <w:rFonts w:hint="eastAsia" w:ascii="Times New Roman" w:hAnsi="Times New Roman" w:eastAsia="仿宋_GB2312" w:cs="Times New Roman"/>
          <w:color w:val="auto"/>
          <w:spacing w:val="0"/>
          <w:kern w:val="0"/>
          <w:sz w:val="30"/>
          <w:szCs w:val="32"/>
          <w:lang w:val="en-US" w:eastAsia="zh-CN"/>
        </w:rPr>
      </w:pPr>
      <w:r>
        <w:rPr>
          <w:rFonts w:hint="eastAsia" w:ascii="Times New Roman" w:hAnsi="Times New Roman" w:eastAsia="仿宋_GB2312" w:cs="Times New Roman"/>
          <w:color w:val="auto"/>
          <w:spacing w:val="0"/>
          <w:kern w:val="0"/>
          <w:sz w:val="30"/>
          <w:szCs w:val="32"/>
          <w:lang w:val="en-US" w:eastAsia="zh-CN"/>
        </w:rPr>
        <w:t>为深入贯彻落实习近平生态文明思想和习近平总书记对内蒙古工作重要讲话指示批示材料，以及中央巡视内蒙古北疆安全稳定屏障建设存在较多风险隐患（重建轻管问题突出），国家林业和草原局办公室文件（办生字〔2025〕80号文件），落实建立长效管护机制，为全面落实党中央、国务院、自治区党委、政府和包头市党委、政府的部署要求。以及进一步提升九原区森林草原湿地资源生态、经济和社会功能，筑牢我国北方重要生态安全屏障，推动黄河流域生态保护和高质量发展、实现碳达峰碳中和目标任务。在九原区全面推行林长制的同时，制定本方案。</w:t>
      </w:r>
    </w:p>
    <w:p w14:paraId="44B6FF5F">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00" w:firstLineChars="200"/>
        <w:jc w:val="both"/>
        <w:textAlignment w:val="auto"/>
        <w:rPr>
          <w:rFonts w:hint="eastAsia" w:ascii="黑体" w:hAnsi="黑体" w:eastAsia="黑体" w:cs="黑体"/>
          <w:color w:val="auto"/>
          <w:spacing w:val="0"/>
          <w:kern w:val="0"/>
          <w:sz w:val="30"/>
          <w:szCs w:val="32"/>
          <w:lang w:val="en-US" w:eastAsia="zh-CN"/>
        </w:rPr>
      </w:pPr>
      <w:r>
        <w:rPr>
          <w:rFonts w:hint="eastAsia" w:ascii="黑体" w:hAnsi="黑体" w:eastAsia="黑体" w:cs="黑体"/>
          <w:color w:val="auto"/>
          <w:spacing w:val="0"/>
          <w:kern w:val="0"/>
          <w:sz w:val="30"/>
          <w:szCs w:val="32"/>
          <w:lang w:val="en-US" w:eastAsia="zh-CN"/>
        </w:rPr>
        <w:t>一、基本原则</w:t>
      </w:r>
    </w:p>
    <w:p w14:paraId="2C718E1B">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00" w:firstLineChars="200"/>
        <w:jc w:val="both"/>
        <w:textAlignment w:val="auto"/>
        <w:rPr>
          <w:rFonts w:hint="eastAsia" w:ascii="Times New Roman" w:hAnsi="Times New Roman" w:eastAsia="仿宋_GB2312" w:cs="Times New Roman"/>
          <w:color w:val="auto"/>
          <w:spacing w:val="0"/>
          <w:kern w:val="0"/>
          <w:sz w:val="30"/>
          <w:szCs w:val="32"/>
          <w:lang w:val="en-US" w:eastAsia="zh-CN"/>
        </w:rPr>
      </w:pPr>
      <w:r>
        <w:rPr>
          <w:rFonts w:hint="eastAsia" w:ascii="Times New Roman" w:hAnsi="Times New Roman" w:eastAsia="仿宋_GB2312" w:cs="Times New Roman"/>
          <w:color w:val="auto"/>
          <w:spacing w:val="0"/>
          <w:kern w:val="0"/>
          <w:sz w:val="30"/>
          <w:szCs w:val="32"/>
          <w:lang w:val="en-US" w:eastAsia="zh-CN"/>
        </w:rPr>
        <w:t>以实现生态功能为目标，保持久久为功的定力，坚持尊重自然、顺应自然，坚持以水定绿、量水而行，坚持因地制宜、适地适树，坚决杜绝造林绿化中贪大求洋、急功近利和形式主义，实行分区域治理，宜乔则乔、宜灌则灌、宜草则草，乔灌草相结合，以“有解思维”解决灌溉用水问题，科学精准种植和养护，着力提升苗木成活率、成林率，整体上实现提标、提质、提效，为筑牢我国北方重要生态安全屏障作出更大贡献。</w:t>
      </w:r>
    </w:p>
    <w:p w14:paraId="2D598D49">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00" w:firstLineChars="200"/>
        <w:jc w:val="both"/>
        <w:textAlignment w:val="auto"/>
        <w:rPr>
          <w:rFonts w:hint="eastAsia" w:ascii="Times New Roman" w:hAnsi="Times New Roman" w:eastAsia="仿宋_GB2312" w:cs="Times New Roman"/>
          <w:color w:val="auto"/>
          <w:spacing w:val="0"/>
          <w:kern w:val="0"/>
          <w:sz w:val="30"/>
          <w:szCs w:val="32"/>
          <w:lang w:val="en-US" w:eastAsia="zh-CN"/>
        </w:rPr>
      </w:pPr>
      <w:r>
        <w:rPr>
          <w:rFonts w:hint="eastAsia" w:ascii="楷体_GB2312" w:hAnsi="楷体_GB2312" w:eastAsia="楷体_GB2312" w:cs="楷体_GB2312"/>
          <w:color w:val="auto"/>
          <w:spacing w:val="0"/>
          <w:kern w:val="0"/>
          <w:sz w:val="30"/>
          <w:szCs w:val="32"/>
          <w:lang w:val="en-US" w:eastAsia="zh-CN"/>
        </w:rPr>
        <w:t>（一）坚持生态优先、保护为主。</w:t>
      </w:r>
      <w:r>
        <w:rPr>
          <w:rFonts w:hint="eastAsia" w:ascii="Times New Roman" w:hAnsi="Times New Roman" w:eastAsia="仿宋_GB2312" w:cs="Times New Roman"/>
          <w:color w:val="auto"/>
          <w:spacing w:val="0"/>
          <w:kern w:val="0"/>
          <w:sz w:val="30"/>
          <w:szCs w:val="32"/>
          <w:lang w:val="en-US" w:eastAsia="zh-CN"/>
        </w:rPr>
        <w:t>全面落实森林法、草原法等法律法规，实行最严格的森林草原湿地资源保护制度，加强生态保护修复，维护生物多样性，增强森林草原湿地等生态系统稳定性。</w:t>
      </w:r>
    </w:p>
    <w:p w14:paraId="5F8DFC9D">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00" w:firstLineChars="200"/>
        <w:jc w:val="both"/>
        <w:textAlignment w:val="auto"/>
        <w:rPr>
          <w:rFonts w:hint="eastAsia" w:ascii="Times New Roman" w:hAnsi="Times New Roman" w:eastAsia="仿宋_GB2312" w:cs="Times New Roman"/>
          <w:color w:val="auto"/>
          <w:spacing w:val="0"/>
          <w:kern w:val="0"/>
          <w:sz w:val="30"/>
          <w:szCs w:val="32"/>
          <w:lang w:val="en-US" w:eastAsia="zh-CN"/>
        </w:rPr>
      </w:pPr>
      <w:r>
        <w:rPr>
          <w:rFonts w:hint="eastAsia" w:ascii="楷体_GB2312" w:hAnsi="楷体_GB2312" w:eastAsia="楷体_GB2312" w:cs="楷体_GB2312"/>
          <w:color w:val="auto"/>
          <w:spacing w:val="0"/>
          <w:kern w:val="0"/>
          <w:sz w:val="30"/>
          <w:szCs w:val="32"/>
          <w:lang w:val="en-US" w:eastAsia="zh-CN"/>
        </w:rPr>
        <w:t>（二）坚持绿色发展、生态惠民。</w:t>
      </w:r>
      <w:r>
        <w:rPr>
          <w:rFonts w:hint="eastAsia" w:ascii="Times New Roman" w:hAnsi="Times New Roman" w:eastAsia="仿宋_GB2312" w:cs="Times New Roman"/>
          <w:color w:val="auto"/>
          <w:spacing w:val="0"/>
          <w:kern w:val="0"/>
          <w:sz w:val="30"/>
          <w:szCs w:val="32"/>
          <w:lang w:val="en-US" w:eastAsia="zh-CN"/>
        </w:rPr>
        <w:t>牢固树立和践行绿水青山就是金山银山理念，积极推进生态产业化和产业生态化，不断满足增进人民群众对优美生态环境、优良生态产品、优质生态服务的获得感。</w:t>
      </w:r>
    </w:p>
    <w:p w14:paraId="6520FDBB">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00" w:firstLineChars="200"/>
        <w:jc w:val="both"/>
        <w:textAlignment w:val="auto"/>
        <w:rPr>
          <w:rFonts w:hint="eastAsia" w:ascii="Times New Roman" w:hAnsi="Times New Roman" w:eastAsia="仿宋_GB2312" w:cs="Times New Roman"/>
          <w:color w:val="auto"/>
          <w:spacing w:val="0"/>
          <w:kern w:val="0"/>
          <w:sz w:val="30"/>
          <w:szCs w:val="32"/>
          <w:lang w:val="en-US" w:eastAsia="zh-CN"/>
        </w:rPr>
      </w:pPr>
      <w:r>
        <w:rPr>
          <w:rFonts w:hint="eastAsia" w:ascii="楷体_GB2312" w:hAnsi="楷体_GB2312" w:eastAsia="楷体_GB2312" w:cs="楷体_GB2312"/>
          <w:color w:val="auto"/>
          <w:spacing w:val="0"/>
          <w:kern w:val="0"/>
          <w:sz w:val="30"/>
          <w:szCs w:val="32"/>
          <w:lang w:val="en-US" w:eastAsia="zh-CN"/>
        </w:rPr>
        <w:t>（三）坚持问题导向、因地制宜。</w:t>
      </w:r>
      <w:r>
        <w:rPr>
          <w:rFonts w:hint="eastAsia" w:ascii="Times New Roman" w:hAnsi="Times New Roman" w:eastAsia="仿宋_GB2312" w:cs="Times New Roman"/>
          <w:color w:val="auto"/>
          <w:spacing w:val="0"/>
          <w:kern w:val="0"/>
          <w:sz w:val="30"/>
          <w:szCs w:val="32"/>
          <w:lang w:val="en-US" w:eastAsia="zh-CN"/>
        </w:rPr>
        <w:t>针对全区森林草原湿地等生态系统保护管理的突出问题，坚持分类施策、科学管理、综合治理，宜林则林、宜草则草、宜湿则湿、宜荒则荒，全面提升森林草原湿地资源的生态、经济、社会功能。</w:t>
      </w:r>
    </w:p>
    <w:p w14:paraId="286A8B67">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00" w:firstLineChars="200"/>
        <w:jc w:val="both"/>
        <w:textAlignment w:val="auto"/>
        <w:rPr>
          <w:rFonts w:hint="eastAsia" w:ascii="Times New Roman" w:hAnsi="Times New Roman" w:eastAsia="仿宋_GB2312" w:cs="Times New Roman"/>
          <w:color w:val="auto"/>
          <w:spacing w:val="0"/>
          <w:kern w:val="0"/>
          <w:sz w:val="30"/>
          <w:szCs w:val="32"/>
          <w:lang w:val="en-US" w:eastAsia="zh-CN"/>
        </w:rPr>
      </w:pPr>
      <w:r>
        <w:rPr>
          <w:rFonts w:hint="eastAsia" w:ascii="楷体_GB2312" w:hAnsi="楷体_GB2312" w:eastAsia="楷体_GB2312" w:cs="楷体_GB2312"/>
          <w:color w:val="auto"/>
          <w:spacing w:val="0"/>
          <w:kern w:val="0"/>
          <w:sz w:val="30"/>
          <w:szCs w:val="32"/>
          <w:lang w:val="en-US" w:eastAsia="zh-CN"/>
        </w:rPr>
        <w:t>（四）坚持严格考核、强化监督。</w:t>
      </w:r>
      <w:r>
        <w:rPr>
          <w:rFonts w:hint="eastAsia" w:ascii="Times New Roman" w:hAnsi="Times New Roman" w:eastAsia="仿宋_GB2312" w:cs="Times New Roman"/>
          <w:color w:val="auto"/>
          <w:spacing w:val="0"/>
          <w:kern w:val="0"/>
          <w:sz w:val="30"/>
          <w:szCs w:val="32"/>
          <w:lang w:val="en-US" w:eastAsia="zh-CN"/>
        </w:rPr>
        <w:t>建立健全科学养护机制，以林长制目标考核评价体系，切实加强考核监督，做到奖罚分明，确保养护效果落地见效。</w:t>
      </w:r>
    </w:p>
    <w:p w14:paraId="67BEF4DD">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00" w:firstLineChars="200"/>
        <w:jc w:val="both"/>
        <w:textAlignment w:val="auto"/>
        <w:rPr>
          <w:rFonts w:hint="eastAsia" w:ascii="黑体" w:hAnsi="黑体" w:eastAsia="黑体" w:cs="黑体"/>
          <w:color w:val="auto"/>
          <w:spacing w:val="0"/>
          <w:kern w:val="0"/>
          <w:sz w:val="30"/>
          <w:szCs w:val="32"/>
          <w:lang w:val="en-US" w:eastAsia="zh-CN"/>
        </w:rPr>
      </w:pPr>
      <w:r>
        <w:rPr>
          <w:rFonts w:hint="eastAsia" w:ascii="黑体" w:hAnsi="黑体" w:eastAsia="黑体" w:cs="黑体"/>
          <w:color w:val="auto"/>
          <w:spacing w:val="0"/>
          <w:kern w:val="0"/>
          <w:sz w:val="30"/>
          <w:szCs w:val="32"/>
          <w:lang w:val="en-US" w:eastAsia="zh-CN"/>
        </w:rPr>
        <w:t>二、基本情况</w:t>
      </w:r>
    </w:p>
    <w:p w14:paraId="5AA4AD69">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00" w:firstLineChars="200"/>
        <w:jc w:val="both"/>
        <w:textAlignment w:val="auto"/>
        <w:rPr>
          <w:rFonts w:hint="eastAsia" w:ascii="Times New Roman" w:hAnsi="Times New Roman" w:eastAsia="仿宋_GB2312" w:cs="Times New Roman"/>
          <w:color w:val="auto"/>
          <w:spacing w:val="0"/>
          <w:kern w:val="0"/>
          <w:sz w:val="30"/>
          <w:szCs w:val="32"/>
          <w:lang w:val="en-US" w:eastAsia="zh-CN"/>
        </w:rPr>
      </w:pPr>
      <w:r>
        <w:rPr>
          <w:rFonts w:hint="eastAsia" w:ascii="Times New Roman" w:hAnsi="Times New Roman" w:eastAsia="仿宋_GB2312" w:cs="Times New Roman"/>
          <w:color w:val="auto"/>
          <w:spacing w:val="0"/>
          <w:kern w:val="0"/>
          <w:sz w:val="30"/>
          <w:szCs w:val="32"/>
          <w:lang w:val="en-US" w:eastAsia="zh-CN"/>
        </w:rPr>
        <w:t>（1）九原区国土绿化及通道绿化和村屯绿化绿化涉及哈业胡同镇、哈林格尔镇、阿嘎如泰苏木、麻池镇、萨如拉街道办事处、九原区国有林场。其中哈业胡同通道养护99959株，村屯绿化养护28520株；哈林格尔镇通道养护122829株，村屯绿化养护32612株，绿篱2881平米；麻池镇通道养护51720株，村屯绿化32113株；萨如拉街道办事处通道绿化10197株，村屯绿化6000株，2026年乡村绿化美化重点村；阿嘎如泰苏木通道养护126719株，林草局国土绿化项目总计24686株；九原区国有林场国土绿化20595株，苗圃地600亩。</w:t>
      </w:r>
    </w:p>
    <w:p w14:paraId="4500458F">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00" w:firstLineChars="200"/>
        <w:jc w:val="both"/>
        <w:textAlignment w:val="auto"/>
        <w:rPr>
          <w:rFonts w:hint="eastAsia" w:ascii="黑体" w:hAnsi="黑体" w:eastAsia="黑体" w:cs="黑体"/>
          <w:color w:val="auto"/>
          <w:spacing w:val="0"/>
          <w:kern w:val="0"/>
          <w:sz w:val="30"/>
          <w:szCs w:val="32"/>
          <w:lang w:val="en-US" w:eastAsia="zh-CN"/>
        </w:rPr>
      </w:pPr>
      <w:r>
        <w:rPr>
          <w:rFonts w:hint="eastAsia" w:ascii="Times New Roman" w:hAnsi="Times New Roman" w:eastAsia="仿宋_GB2312" w:cs="Times New Roman"/>
          <w:color w:val="auto"/>
          <w:spacing w:val="0"/>
          <w:kern w:val="0"/>
          <w:sz w:val="30"/>
          <w:szCs w:val="32"/>
          <w:lang w:val="en-US" w:eastAsia="zh-CN"/>
        </w:rPr>
        <w:t>（2）哈林格尔宋昭公路两侧养护全线8.5公里，其中卫矛3763株，丁香3620丛，水蜡篱12388.53平米，金叶榆篱11401.39平米（36株/平米），侧柏篱2470.68平米，丁香篱1400平米，金叶榆篱2100平米（30株/平米）。</w:t>
      </w:r>
    </w:p>
    <w:p w14:paraId="2EA27FBB">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00" w:firstLineChars="200"/>
        <w:jc w:val="both"/>
        <w:textAlignment w:val="auto"/>
        <w:rPr>
          <w:rFonts w:hint="eastAsia" w:ascii="黑体" w:hAnsi="黑体" w:eastAsia="黑体" w:cs="黑体"/>
          <w:color w:val="auto"/>
          <w:spacing w:val="0"/>
          <w:kern w:val="0"/>
          <w:sz w:val="30"/>
          <w:szCs w:val="32"/>
          <w:lang w:val="en-US" w:eastAsia="zh-CN"/>
        </w:rPr>
      </w:pPr>
      <w:r>
        <w:rPr>
          <w:rFonts w:hint="eastAsia" w:ascii="黑体" w:hAnsi="黑体" w:eastAsia="黑体" w:cs="黑体"/>
          <w:color w:val="auto"/>
          <w:spacing w:val="0"/>
          <w:kern w:val="0"/>
          <w:sz w:val="30"/>
          <w:szCs w:val="32"/>
          <w:lang w:val="en-US" w:eastAsia="zh-CN"/>
        </w:rPr>
        <w:t>三、养护方式的建议</w:t>
      </w:r>
    </w:p>
    <w:p w14:paraId="0012741B">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00" w:firstLineChars="200"/>
        <w:jc w:val="both"/>
        <w:textAlignment w:val="auto"/>
        <w:rPr>
          <w:rFonts w:hint="eastAsia" w:ascii="Times New Roman" w:hAnsi="Times New Roman" w:eastAsia="仿宋_GB2312" w:cs="Times New Roman"/>
          <w:color w:val="auto"/>
          <w:spacing w:val="0"/>
          <w:kern w:val="0"/>
          <w:sz w:val="30"/>
          <w:szCs w:val="32"/>
          <w:lang w:val="en-US" w:eastAsia="zh-CN"/>
        </w:rPr>
      </w:pPr>
      <w:r>
        <w:rPr>
          <w:rFonts w:hint="eastAsia" w:ascii="楷体_GB2312" w:hAnsi="楷体_GB2312" w:eastAsia="楷体_GB2312" w:cs="楷体_GB2312"/>
          <w:color w:val="auto"/>
          <w:spacing w:val="0"/>
          <w:kern w:val="0"/>
          <w:sz w:val="30"/>
          <w:szCs w:val="32"/>
          <w:lang w:val="en-US" w:eastAsia="zh-CN"/>
        </w:rPr>
        <w:t>（一）属地管理，选取因地因村事宜方式给予养护。</w:t>
      </w:r>
      <w:r>
        <w:rPr>
          <w:rFonts w:hint="eastAsia" w:ascii="Times New Roman" w:hAnsi="Times New Roman" w:eastAsia="仿宋_GB2312" w:cs="Times New Roman"/>
          <w:color w:val="auto"/>
          <w:spacing w:val="0"/>
          <w:kern w:val="0"/>
          <w:sz w:val="30"/>
          <w:szCs w:val="32"/>
          <w:lang w:val="en-US" w:eastAsia="zh-CN"/>
        </w:rPr>
        <w:t>国土绿化及通道绿化和村屯绿化管护工作，按照各自情况分类实施，分类管理。根据林木所在位置、水源条件、干旱程度等因素，灵活掌握养护方式，分别采取不同方式对其进行养护。绿化养护的责任主体在做好养护工作的同时，还承担制止和防范各种损害林木的行为，确保树木成活率。对养护质量较差的，要通过扣减相关经费、取消相关管护资格进行惩处。哈林格尔宋昭公路两侧绿化养护由和林格尔镇政府负责。</w:t>
      </w:r>
    </w:p>
    <w:p w14:paraId="5EFCE515">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00" w:firstLineChars="200"/>
        <w:jc w:val="both"/>
        <w:textAlignment w:val="auto"/>
        <w:rPr>
          <w:rFonts w:hint="default" w:ascii="Times New Roman" w:hAnsi="Times New Roman" w:eastAsia="仿宋_GB2312" w:cs="Times New Roman"/>
          <w:color w:val="auto"/>
          <w:spacing w:val="0"/>
          <w:kern w:val="0"/>
          <w:sz w:val="30"/>
          <w:szCs w:val="32"/>
          <w:lang w:val="en-US" w:eastAsia="zh-CN"/>
        </w:rPr>
      </w:pPr>
      <w:r>
        <w:rPr>
          <w:rFonts w:hint="eastAsia" w:ascii="楷体_GB2312" w:hAnsi="楷体_GB2312" w:eastAsia="楷体_GB2312" w:cs="楷体_GB2312"/>
          <w:color w:val="auto"/>
          <w:spacing w:val="0"/>
          <w:kern w:val="0"/>
          <w:sz w:val="30"/>
          <w:szCs w:val="32"/>
          <w:lang w:val="en-US" w:eastAsia="zh-CN"/>
        </w:rPr>
        <w:t>（二）养护经费标准。</w:t>
      </w:r>
      <w:r>
        <w:rPr>
          <w:rFonts w:hint="eastAsia" w:ascii="Times New Roman" w:hAnsi="Times New Roman" w:eastAsia="仿宋_GB2312" w:cs="Times New Roman"/>
          <w:color w:val="auto"/>
          <w:spacing w:val="0"/>
          <w:kern w:val="0"/>
          <w:sz w:val="30"/>
          <w:szCs w:val="32"/>
          <w:lang w:val="en-US" w:eastAsia="zh-CN"/>
        </w:rPr>
        <w:t>参照包头市九原区人民政府办公室文件关于印发《九原区农村牧区通道绿化和村屯绿化树木养护实施方案》的通知（包九原府办发[2023]74号），国土绿化、通道绿化养护主体为相关苏木镇（街道），每株10元/年（原每株13元/年）（包含浇水、除草、修剪、病虫害防治、保洁、防火等）；村屯绿化养护主体为相关苏木镇（街道），乔木每株5元/年，灌木每丛5元/年（原每株6元/年）。其中哈业胡同通道养护99959株，村屯绿化养护28520株，养护资金1142190元；哈林格尔镇通道养护122829株，村屯绿化养护32612株，养护绿篱2881平米，养护资金1399993元；麻池镇通道养护51720株，村屯绿化32113株，养护资金677765元；萨如拉街道办事处通道绿化10197株，村屯绿化6000株，养护资金350000元（含补植补造的费用暨26年乡村绿化美化重点村后期养护）；阿嘎如泰苏木通道养护126719株，养护资金1267190元；九原区国有林场退化林修复20595株，苗圃地600亩，养护资金295950元。林草局国土绿化项目总计24686株，养护资金246860元。</w:t>
      </w:r>
    </w:p>
    <w:p w14:paraId="262D6ECB">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00" w:firstLineChars="200"/>
        <w:jc w:val="both"/>
        <w:textAlignment w:val="auto"/>
        <w:rPr>
          <w:rFonts w:hint="eastAsia" w:ascii="Times New Roman" w:hAnsi="Times New Roman" w:eastAsia="仿宋_GB2312" w:cs="Times New Roman"/>
          <w:color w:val="auto"/>
          <w:spacing w:val="0"/>
          <w:kern w:val="0"/>
          <w:sz w:val="30"/>
          <w:szCs w:val="32"/>
          <w:lang w:val="en-US" w:eastAsia="zh-CN"/>
        </w:rPr>
      </w:pPr>
      <w:r>
        <w:rPr>
          <w:rFonts w:hint="eastAsia" w:ascii="Times New Roman" w:hAnsi="Times New Roman" w:eastAsia="仿宋_GB2312" w:cs="Times New Roman"/>
          <w:color w:val="auto"/>
          <w:spacing w:val="0"/>
          <w:kern w:val="0"/>
          <w:sz w:val="30"/>
          <w:szCs w:val="32"/>
          <w:lang w:val="en-US" w:eastAsia="zh-CN"/>
        </w:rPr>
        <w:t>哈林格尔镇宋昭公路绿化总计金额1231000元。总计养护资6610948元。</w:t>
      </w:r>
    </w:p>
    <w:p w14:paraId="37FEC48F">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00" w:firstLineChars="200"/>
        <w:jc w:val="both"/>
        <w:textAlignment w:val="auto"/>
        <w:rPr>
          <w:rFonts w:hint="eastAsia" w:ascii="黑体" w:hAnsi="黑体" w:eastAsia="黑体" w:cs="黑体"/>
          <w:color w:val="auto"/>
          <w:spacing w:val="0"/>
          <w:kern w:val="0"/>
          <w:sz w:val="30"/>
          <w:szCs w:val="32"/>
          <w:lang w:val="en-US" w:eastAsia="zh-CN"/>
        </w:rPr>
      </w:pPr>
      <w:r>
        <w:rPr>
          <w:rFonts w:hint="eastAsia" w:ascii="黑体" w:hAnsi="黑体" w:eastAsia="黑体" w:cs="黑体"/>
          <w:color w:val="auto"/>
          <w:spacing w:val="0"/>
          <w:kern w:val="0"/>
          <w:sz w:val="30"/>
          <w:szCs w:val="32"/>
          <w:lang w:val="en-US" w:eastAsia="zh-CN"/>
        </w:rPr>
        <w:t>四、抚育管理</w:t>
      </w:r>
    </w:p>
    <w:p w14:paraId="212DC389">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00" w:firstLineChars="200"/>
        <w:jc w:val="both"/>
        <w:textAlignment w:val="auto"/>
        <w:rPr>
          <w:rFonts w:hint="eastAsia" w:ascii="楷体_GB2312" w:hAnsi="楷体_GB2312" w:eastAsia="楷体_GB2312" w:cs="楷体_GB2312"/>
          <w:color w:val="auto"/>
          <w:spacing w:val="0"/>
          <w:kern w:val="0"/>
          <w:sz w:val="30"/>
          <w:szCs w:val="32"/>
          <w:lang w:val="en-US" w:eastAsia="zh-CN"/>
        </w:rPr>
      </w:pPr>
      <w:r>
        <w:rPr>
          <w:rFonts w:hint="eastAsia" w:ascii="楷体_GB2312" w:hAnsi="楷体_GB2312" w:eastAsia="楷体_GB2312" w:cs="楷体_GB2312"/>
          <w:color w:val="auto"/>
          <w:spacing w:val="0"/>
          <w:kern w:val="0"/>
          <w:sz w:val="30"/>
          <w:szCs w:val="32"/>
          <w:lang w:val="en-US" w:eastAsia="zh-CN"/>
        </w:rPr>
        <w:t>（一）传统灌溉方式</w:t>
      </w:r>
    </w:p>
    <w:p w14:paraId="398F9949">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00" w:firstLineChars="200"/>
        <w:jc w:val="both"/>
        <w:textAlignment w:val="auto"/>
        <w:rPr>
          <w:rFonts w:hint="eastAsia" w:ascii="Times New Roman" w:hAnsi="Times New Roman" w:eastAsia="仿宋_GB2312" w:cs="Times New Roman"/>
          <w:color w:val="auto"/>
          <w:spacing w:val="0"/>
          <w:kern w:val="0"/>
          <w:sz w:val="30"/>
          <w:szCs w:val="32"/>
          <w:lang w:val="en-US" w:eastAsia="zh-CN"/>
        </w:rPr>
      </w:pPr>
      <w:r>
        <w:rPr>
          <w:rFonts w:hint="eastAsia" w:ascii="Times New Roman" w:hAnsi="Times New Roman" w:eastAsia="仿宋_GB2312" w:cs="Times New Roman"/>
          <w:color w:val="auto"/>
          <w:spacing w:val="0"/>
          <w:kern w:val="0"/>
          <w:sz w:val="30"/>
          <w:szCs w:val="32"/>
          <w:lang w:val="en-US" w:eastAsia="zh-CN"/>
        </w:rPr>
        <w:t>乔木、灌木，浇水次数不低于6次，局部地段根据生长情况适度浇水。</w:t>
      </w:r>
    </w:p>
    <w:p w14:paraId="4AAE71B5">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00" w:firstLineChars="200"/>
        <w:jc w:val="both"/>
        <w:textAlignment w:val="auto"/>
        <w:rPr>
          <w:rFonts w:hint="eastAsia" w:ascii="楷体_GB2312" w:hAnsi="楷体_GB2312" w:eastAsia="楷体_GB2312" w:cs="楷体_GB2312"/>
          <w:color w:val="auto"/>
          <w:spacing w:val="0"/>
          <w:kern w:val="0"/>
          <w:sz w:val="30"/>
          <w:szCs w:val="32"/>
          <w:lang w:val="en-US" w:eastAsia="zh-CN"/>
        </w:rPr>
      </w:pPr>
      <w:r>
        <w:rPr>
          <w:rFonts w:hint="eastAsia" w:ascii="楷体_GB2312" w:hAnsi="楷体_GB2312" w:eastAsia="楷体_GB2312" w:cs="楷体_GB2312"/>
          <w:color w:val="auto"/>
          <w:spacing w:val="0"/>
          <w:kern w:val="0"/>
          <w:sz w:val="30"/>
          <w:szCs w:val="32"/>
          <w:lang w:val="en-US" w:eastAsia="zh-CN"/>
        </w:rPr>
        <w:t>（二）节水滴灌方式</w:t>
      </w:r>
    </w:p>
    <w:p w14:paraId="39484102">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00" w:firstLineChars="200"/>
        <w:jc w:val="both"/>
        <w:textAlignment w:val="auto"/>
        <w:rPr>
          <w:rFonts w:hint="eastAsia" w:ascii="Times New Roman" w:hAnsi="Times New Roman" w:eastAsia="仿宋_GB2312" w:cs="Times New Roman"/>
          <w:color w:val="auto"/>
          <w:spacing w:val="0"/>
          <w:kern w:val="0"/>
          <w:sz w:val="30"/>
          <w:szCs w:val="32"/>
          <w:lang w:val="en-US" w:eastAsia="zh-CN"/>
        </w:rPr>
      </w:pPr>
      <w:r>
        <w:rPr>
          <w:rFonts w:hint="eastAsia" w:ascii="Times New Roman" w:hAnsi="Times New Roman" w:eastAsia="仿宋_GB2312" w:cs="Times New Roman"/>
          <w:color w:val="auto"/>
          <w:spacing w:val="0"/>
          <w:kern w:val="0"/>
          <w:sz w:val="30"/>
          <w:szCs w:val="32"/>
          <w:lang w:val="en-US" w:eastAsia="zh-CN"/>
        </w:rPr>
        <w:t>乔木、灌木，采用节水滴灌方式灌溉，浇水次数不低于6次，局部地段根据生长情况适度浇水灌溉。</w:t>
      </w:r>
    </w:p>
    <w:p w14:paraId="3C0E9A13">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00" w:firstLineChars="200"/>
        <w:jc w:val="both"/>
        <w:textAlignment w:val="auto"/>
        <w:rPr>
          <w:rFonts w:hint="eastAsia" w:ascii="楷体_GB2312" w:hAnsi="楷体_GB2312" w:eastAsia="楷体_GB2312" w:cs="楷体_GB2312"/>
          <w:color w:val="auto"/>
          <w:spacing w:val="0"/>
          <w:kern w:val="0"/>
          <w:sz w:val="30"/>
          <w:szCs w:val="32"/>
          <w:lang w:val="en-US" w:eastAsia="zh-CN"/>
        </w:rPr>
      </w:pPr>
      <w:r>
        <w:rPr>
          <w:rFonts w:hint="eastAsia" w:ascii="楷体_GB2312" w:hAnsi="楷体_GB2312" w:eastAsia="楷体_GB2312" w:cs="楷体_GB2312"/>
          <w:color w:val="auto"/>
          <w:spacing w:val="0"/>
          <w:kern w:val="0"/>
          <w:sz w:val="30"/>
          <w:szCs w:val="32"/>
          <w:lang w:val="en-US" w:eastAsia="zh-CN"/>
        </w:rPr>
        <w:t>（三）共性要求</w:t>
      </w:r>
    </w:p>
    <w:p w14:paraId="21F1600C">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00" w:firstLineChars="200"/>
        <w:jc w:val="both"/>
        <w:textAlignment w:val="auto"/>
        <w:rPr>
          <w:rFonts w:hint="eastAsia" w:ascii="Times New Roman" w:hAnsi="Times New Roman" w:eastAsia="仿宋_GB2312" w:cs="Times New Roman"/>
          <w:color w:val="auto"/>
          <w:spacing w:val="0"/>
          <w:kern w:val="0"/>
          <w:sz w:val="30"/>
          <w:szCs w:val="32"/>
          <w:lang w:val="en-US" w:eastAsia="zh-CN"/>
        </w:rPr>
      </w:pPr>
      <w:r>
        <w:rPr>
          <w:rFonts w:hint="eastAsia" w:ascii="Times New Roman" w:hAnsi="Times New Roman" w:eastAsia="仿宋_GB2312" w:cs="Times New Roman"/>
          <w:color w:val="auto"/>
          <w:spacing w:val="0"/>
          <w:kern w:val="0"/>
          <w:sz w:val="30"/>
          <w:szCs w:val="32"/>
          <w:lang w:val="en-US" w:eastAsia="zh-CN"/>
        </w:rPr>
        <w:t>1.割灌除草：幼苗、幼树受周边杂灌、杂草、藤本植物等影响或严重遮荫，限制了林木正常生长，必须采用人工或机械割除影响幼苗、幼树生长发育的杂灌、杂草、藤本植物，将割除的杂灌、杂草沿等高线平铺于林间空地中。割灌除草注重保护林下的珍稀濒危树种幼苗幼树和有生长潜力的幼苗幼树。</w:t>
      </w:r>
    </w:p>
    <w:p w14:paraId="059AED3E">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00" w:firstLineChars="200"/>
        <w:jc w:val="both"/>
        <w:textAlignment w:val="auto"/>
        <w:rPr>
          <w:rFonts w:hint="eastAsia" w:ascii="Times New Roman" w:hAnsi="Times New Roman" w:eastAsia="仿宋_GB2312" w:cs="Times New Roman"/>
          <w:color w:val="auto"/>
          <w:spacing w:val="0"/>
          <w:kern w:val="0"/>
          <w:sz w:val="30"/>
          <w:szCs w:val="32"/>
          <w:lang w:val="en-US" w:eastAsia="zh-CN"/>
        </w:rPr>
      </w:pPr>
      <w:r>
        <w:rPr>
          <w:rFonts w:hint="eastAsia" w:ascii="Times New Roman" w:hAnsi="Times New Roman" w:eastAsia="仿宋_GB2312" w:cs="Times New Roman"/>
          <w:color w:val="auto"/>
          <w:spacing w:val="0"/>
          <w:kern w:val="0"/>
          <w:sz w:val="30"/>
          <w:szCs w:val="32"/>
          <w:lang w:val="en-US" w:eastAsia="zh-CN"/>
        </w:rPr>
        <w:t>2.修枝提干：由于树体高大其枝条妨碍林木生长，主要采用平切法，修去枯死枝和树冠下部1轮～2轮活枝，严禁劈裂和损伤树皮，修下的枝桠可运出林外、或带状堆在林内。当幼龄林冠长超过树高的2/3、中龄林冠长超过树高的1/2时进行，修枝一般在秋末至春季林木萌芽前进行。修枝后，出现两轮死枝时可再次修枝。</w:t>
      </w:r>
    </w:p>
    <w:p w14:paraId="7581AC6B">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00" w:firstLineChars="200"/>
        <w:jc w:val="both"/>
        <w:textAlignment w:val="auto"/>
        <w:rPr>
          <w:rFonts w:hint="eastAsia" w:ascii="Times New Roman" w:hAnsi="Times New Roman" w:eastAsia="仿宋_GB2312" w:cs="Times New Roman"/>
          <w:color w:val="auto"/>
          <w:spacing w:val="0"/>
          <w:kern w:val="0"/>
          <w:sz w:val="30"/>
          <w:szCs w:val="32"/>
          <w:lang w:val="en-US" w:eastAsia="zh-CN"/>
        </w:rPr>
      </w:pPr>
      <w:r>
        <w:rPr>
          <w:rFonts w:hint="eastAsia" w:ascii="Times New Roman" w:hAnsi="Times New Roman" w:eastAsia="仿宋_GB2312" w:cs="Times New Roman"/>
          <w:color w:val="auto"/>
          <w:spacing w:val="0"/>
          <w:kern w:val="0"/>
          <w:sz w:val="30"/>
          <w:szCs w:val="32"/>
          <w:lang w:val="en-US" w:eastAsia="zh-CN"/>
        </w:rPr>
        <w:t>3.有害生物防控：为了确保幼苗正常生长发育，加强未成林 的有害生物防控。一是开展造林地及周边林地有害生物预测预报，可设置病虫害预测预报样地、测报点等进行定期监测；二是及时隔离、处理病虫害危害木，减少病源，一旦发现检疫性病虫害，应及时伐除并销毁受害木；三是病虫害发生后宜采用物理、生物防治或综合防治方法，避免采用单一的化学防治方法；大规模造林地宜配备诱虫灯、喷雾器、病防车等防治设备。</w:t>
      </w:r>
    </w:p>
    <w:p w14:paraId="26ED3617">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00" w:firstLineChars="200"/>
        <w:jc w:val="both"/>
        <w:textAlignment w:val="auto"/>
        <w:rPr>
          <w:rFonts w:hint="eastAsia" w:ascii="黑体" w:hAnsi="黑体" w:eastAsia="黑体" w:cs="黑体"/>
          <w:color w:val="auto"/>
          <w:spacing w:val="0"/>
          <w:kern w:val="0"/>
          <w:sz w:val="30"/>
          <w:szCs w:val="32"/>
          <w:lang w:val="en-US" w:eastAsia="zh-CN"/>
        </w:rPr>
      </w:pPr>
      <w:r>
        <w:rPr>
          <w:rFonts w:hint="eastAsia" w:ascii="黑体" w:hAnsi="黑体" w:eastAsia="黑体" w:cs="黑体"/>
          <w:color w:val="auto"/>
          <w:spacing w:val="0"/>
          <w:kern w:val="0"/>
          <w:sz w:val="30"/>
          <w:szCs w:val="32"/>
          <w:lang w:val="en-US" w:eastAsia="zh-CN"/>
        </w:rPr>
        <w:t>五、资金拨付方式</w:t>
      </w:r>
    </w:p>
    <w:p w14:paraId="6C32FABE">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00" w:firstLineChars="200"/>
        <w:jc w:val="both"/>
        <w:textAlignment w:val="auto"/>
        <w:rPr>
          <w:rFonts w:hint="eastAsia" w:ascii="Times New Roman" w:hAnsi="Times New Roman" w:eastAsia="仿宋_GB2312" w:cs="Times New Roman"/>
          <w:color w:val="auto"/>
          <w:spacing w:val="0"/>
          <w:kern w:val="0"/>
          <w:sz w:val="30"/>
          <w:szCs w:val="32"/>
          <w:lang w:val="en-US" w:eastAsia="zh-CN"/>
        </w:rPr>
      </w:pPr>
      <w:r>
        <w:rPr>
          <w:rFonts w:hint="eastAsia" w:ascii="Times New Roman" w:hAnsi="Times New Roman" w:eastAsia="仿宋_GB2312" w:cs="Times New Roman"/>
          <w:color w:val="auto"/>
          <w:spacing w:val="0"/>
          <w:kern w:val="0"/>
          <w:sz w:val="30"/>
          <w:szCs w:val="32"/>
          <w:lang w:val="en-US" w:eastAsia="zh-CN"/>
        </w:rPr>
        <w:t>由区财政拨每半年拨付乡镇一次，乡镇、国有林场按年度参照考核办法按照养护进度支付到70%，剩余工程款待审计完成后全部支付。哈林格尔宋昭公路绿化养护资金有本级乡镇府参照养护方案支付。</w:t>
      </w:r>
    </w:p>
    <w:p w14:paraId="550C615B">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00" w:firstLineChars="200"/>
        <w:jc w:val="both"/>
        <w:textAlignment w:val="auto"/>
        <w:rPr>
          <w:rFonts w:hint="eastAsia" w:ascii="黑体" w:hAnsi="黑体" w:eastAsia="黑体" w:cs="黑体"/>
          <w:color w:val="auto"/>
          <w:spacing w:val="0"/>
          <w:kern w:val="0"/>
          <w:sz w:val="30"/>
          <w:szCs w:val="32"/>
          <w:lang w:val="en-US" w:eastAsia="zh-CN"/>
        </w:rPr>
      </w:pPr>
      <w:r>
        <w:rPr>
          <w:rFonts w:hint="eastAsia" w:ascii="黑体" w:hAnsi="黑体" w:eastAsia="黑体" w:cs="黑体"/>
          <w:color w:val="auto"/>
          <w:spacing w:val="0"/>
          <w:kern w:val="0"/>
          <w:sz w:val="30"/>
          <w:szCs w:val="32"/>
          <w:lang w:val="en-US" w:eastAsia="zh-CN"/>
        </w:rPr>
        <w:t>六、养护台帐建立</w:t>
      </w:r>
    </w:p>
    <w:p w14:paraId="16F057E0">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00" w:firstLineChars="200"/>
        <w:jc w:val="both"/>
        <w:textAlignment w:val="auto"/>
        <w:rPr>
          <w:rFonts w:hint="eastAsia" w:ascii="Times New Roman" w:hAnsi="Times New Roman" w:eastAsia="仿宋_GB2312" w:cs="Times New Roman"/>
          <w:color w:val="auto"/>
          <w:spacing w:val="0"/>
          <w:kern w:val="0"/>
          <w:sz w:val="30"/>
          <w:szCs w:val="32"/>
          <w:lang w:val="en-US" w:eastAsia="zh-CN"/>
        </w:rPr>
      </w:pPr>
      <w:r>
        <w:rPr>
          <w:rFonts w:hint="eastAsia" w:ascii="Times New Roman" w:hAnsi="Times New Roman" w:eastAsia="仿宋_GB2312" w:cs="Times New Roman"/>
          <w:color w:val="auto"/>
          <w:spacing w:val="0"/>
          <w:kern w:val="0"/>
          <w:sz w:val="30"/>
          <w:szCs w:val="32"/>
          <w:lang w:val="en-US" w:eastAsia="zh-CN"/>
        </w:rPr>
        <w:t>按照九原区国土绿化暨农村牧区通道绿化、村屯绿化树木养护工作细则，由乡镇林业工作站、九原区国有林场负责建立日常养护记录及年终养护台帐，乡镇、国有林场实行招标制和监理制，加强养护过程监管，区林草局按照工作细则负责乡镇、国有林场的年终考核。哈林格尔宋昭公路由乡政府自行考核。</w:t>
      </w:r>
    </w:p>
    <w:p w14:paraId="1D67FCC7">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00" w:firstLineChars="200"/>
        <w:jc w:val="both"/>
        <w:textAlignment w:val="auto"/>
        <w:rPr>
          <w:rFonts w:hint="eastAsia" w:ascii="黑体" w:hAnsi="黑体" w:eastAsia="黑体" w:cs="黑体"/>
          <w:color w:val="auto"/>
          <w:spacing w:val="0"/>
          <w:kern w:val="0"/>
          <w:sz w:val="30"/>
          <w:szCs w:val="32"/>
          <w:lang w:val="en-US" w:eastAsia="zh-CN"/>
        </w:rPr>
      </w:pPr>
      <w:r>
        <w:rPr>
          <w:rFonts w:hint="eastAsia" w:ascii="黑体" w:hAnsi="黑体" w:eastAsia="黑体" w:cs="黑体"/>
          <w:color w:val="auto"/>
          <w:spacing w:val="0"/>
          <w:kern w:val="0"/>
          <w:sz w:val="30"/>
          <w:szCs w:val="32"/>
          <w:lang w:val="en-US" w:eastAsia="zh-CN"/>
        </w:rPr>
        <w:t>七、养护时间</w:t>
      </w:r>
    </w:p>
    <w:p w14:paraId="39590DF3">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00" w:firstLineChars="200"/>
        <w:jc w:val="both"/>
        <w:textAlignment w:val="auto"/>
        <w:rPr>
          <w:rFonts w:hint="eastAsia" w:ascii="Times New Roman" w:hAnsi="Times New Roman" w:eastAsia="仿宋_GB2312" w:cs="Times New Roman"/>
          <w:color w:val="auto"/>
          <w:spacing w:val="0"/>
          <w:kern w:val="0"/>
          <w:sz w:val="30"/>
          <w:szCs w:val="32"/>
          <w:lang w:val="en-US" w:eastAsia="zh-CN"/>
        </w:rPr>
      </w:pPr>
      <w:r>
        <w:rPr>
          <w:rFonts w:hint="eastAsia" w:ascii="Times New Roman" w:hAnsi="Times New Roman" w:eastAsia="仿宋_GB2312" w:cs="Times New Roman"/>
          <w:color w:val="auto"/>
          <w:spacing w:val="0"/>
          <w:kern w:val="0"/>
          <w:sz w:val="30"/>
          <w:szCs w:val="32"/>
          <w:lang w:val="en-US" w:eastAsia="zh-CN"/>
        </w:rPr>
        <w:t>本方案适用于2026—2029年度的通道绿化和村屯绿化后期养护工作。</w:t>
      </w:r>
    </w:p>
    <w:p w14:paraId="2878EAD6">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00" w:firstLineChars="200"/>
        <w:jc w:val="both"/>
        <w:textAlignment w:val="auto"/>
        <w:rPr>
          <w:rFonts w:hint="eastAsia" w:ascii="Times New Roman" w:hAnsi="Times New Roman" w:eastAsia="仿宋_GB2312" w:cs="Times New Roman"/>
          <w:color w:val="auto"/>
          <w:spacing w:val="0"/>
          <w:kern w:val="0"/>
          <w:sz w:val="30"/>
          <w:szCs w:val="32"/>
          <w:lang w:val="en-US" w:eastAsia="zh-CN"/>
        </w:rPr>
      </w:pPr>
    </w:p>
    <w:p w14:paraId="41D5D920">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00" w:firstLineChars="200"/>
        <w:jc w:val="both"/>
        <w:textAlignment w:val="auto"/>
        <w:rPr>
          <w:rFonts w:hint="eastAsia" w:ascii="Times New Roman" w:hAnsi="Times New Roman" w:eastAsia="仿宋_GB2312" w:cs="Times New Roman"/>
          <w:color w:val="auto"/>
          <w:spacing w:val="0"/>
          <w:kern w:val="0"/>
          <w:sz w:val="30"/>
          <w:szCs w:val="32"/>
          <w:lang w:val="en-US" w:eastAsia="zh-CN"/>
        </w:rPr>
      </w:pPr>
      <w:r>
        <w:rPr>
          <w:rFonts w:hint="eastAsia" w:ascii="Times New Roman" w:hAnsi="Times New Roman" w:eastAsia="仿宋_GB2312" w:cs="Times New Roman"/>
          <w:color w:val="auto"/>
          <w:spacing w:val="0"/>
          <w:kern w:val="0"/>
          <w:sz w:val="30"/>
          <w:szCs w:val="32"/>
          <w:lang w:val="en-US" w:eastAsia="zh-CN"/>
        </w:rPr>
        <w:t>附件：1.</w:t>
      </w:r>
      <w:bookmarkStart w:id="0" w:name="_Hlk13665025"/>
      <w:r>
        <w:rPr>
          <w:rFonts w:hint="eastAsia" w:ascii="Times New Roman" w:hAnsi="Times New Roman" w:eastAsia="仿宋_GB2312" w:cs="Times New Roman"/>
          <w:color w:val="auto"/>
          <w:spacing w:val="0"/>
          <w:kern w:val="0"/>
          <w:sz w:val="30"/>
          <w:szCs w:val="32"/>
          <w:lang w:val="en-US" w:eastAsia="zh-CN"/>
        </w:rPr>
        <w:t>九原区农村牧区通道绿化、村屯绿化树木养护工作细则</w:t>
      </w:r>
      <w:bookmarkEnd w:id="0"/>
    </w:p>
    <w:p w14:paraId="60751121">
      <w:pPr>
        <w:keepNext w:val="0"/>
        <w:keepLines w:val="0"/>
        <w:pageBreakBefore w:val="0"/>
        <w:widowControl w:val="0"/>
        <w:kinsoku/>
        <w:wordWrap/>
        <w:overflowPunct/>
        <w:topLinePunct w:val="0"/>
        <w:autoSpaceDE/>
        <w:autoSpaceDN/>
        <w:bidi w:val="0"/>
        <w:adjustRightInd w:val="0"/>
        <w:snapToGrid w:val="0"/>
        <w:spacing w:line="600" w:lineRule="exact"/>
        <w:ind w:firstLine="1500" w:firstLineChars="500"/>
        <w:jc w:val="both"/>
        <w:textAlignment w:val="auto"/>
        <w:rPr>
          <w:rFonts w:hint="eastAsia" w:ascii="Times New Roman" w:hAnsi="Times New Roman" w:eastAsia="仿宋_GB2312" w:cs="Times New Roman"/>
          <w:color w:val="auto"/>
          <w:spacing w:val="0"/>
          <w:kern w:val="0"/>
          <w:sz w:val="30"/>
          <w:szCs w:val="32"/>
          <w:lang w:val="en-US" w:eastAsia="zh-CN"/>
        </w:rPr>
      </w:pPr>
      <w:r>
        <w:rPr>
          <w:rFonts w:hint="eastAsia" w:ascii="Times New Roman" w:hAnsi="Times New Roman" w:eastAsia="仿宋_GB2312" w:cs="Times New Roman"/>
          <w:color w:val="auto"/>
          <w:spacing w:val="0"/>
          <w:kern w:val="0"/>
          <w:sz w:val="30"/>
          <w:szCs w:val="32"/>
          <w:lang w:val="en-US" w:eastAsia="zh-CN"/>
        </w:rPr>
        <w:t>2.九原区2023—2026年度农村牧区通道绿化养护资金测</w:t>
      </w:r>
    </w:p>
    <w:p w14:paraId="09472BB7">
      <w:pPr>
        <w:keepNext w:val="0"/>
        <w:keepLines w:val="0"/>
        <w:pageBreakBefore w:val="0"/>
        <w:widowControl w:val="0"/>
        <w:kinsoku/>
        <w:wordWrap/>
        <w:overflowPunct/>
        <w:topLinePunct w:val="0"/>
        <w:autoSpaceDE/>
        <w:autoSpaceDN/>
        <w:bidi w:val="0"/>
        <w:adjustRightInd w:val="0"/>
        <w:snapToGrid w:val="0"/>
        <w:spacing w:line="600" w:lineRule="exact"/>
        <w:ind w:firstLine="1500" w:firstLineChars="500"/>
        <w:jc w:val="both"/>
        <w:textAlignment w:val="auto"/>
        <w:rPr>
          <w:rFonts w:hint="eastAsia" w:ascii="Times New Roman" w:hAnsi="Times New Roman" w:eastAsia="仿宋_GB2312" w:cs="Times New Roman"/>
          <w:color w:val="auto"/>
          <w:spacing w:val="0"/>
          <w:kern w:val="0"/>
          <w:sz w:val="30"/>
          <w:szCs w:val="32"/>
          <w:lang w:val="en-US" w:eastAsia="zh-CN"/>
        </w:rPr>
      </w:pPr>
      <w:r>
        <w:rPr>
          <w:rFonts w:hint="eastAsia" w:ascii="Times New Roman" w:hAnsi="Times New Roman" w:eastAsia="仿宋_GB2312" w:cs="Times New Roman"/>
          <w:color w:val="auto"/>
          <w:spacing w:val="0"/>
          <w:kern w:val="0"/>
          <w:sz w:val="30"/>
          <w:szCs w:val="32"/>
          <w:lang w:val="en-US" w:eastAsia="zh-CN"/>
        </w:rPr>
        <w:t>算一览表</w:t>
      </w:r>
    </w:p>
    <w:p w14:paraId="559A58B4">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1500" w:firstLineChars="500"/>
        <w:jc w:val="both"/>
        <w:textAlignment w:val="auto"/>
        <w:rPr>
          <w:rFonts w:hint="eastAsia" w:ascii="Times New Roman" w:hAnsi="Times New Roman" w:eastAsia="仿宋_GB2312" w:cs="Times New Roman"/>
          <w:color w:val="auto"/>
          <w:spacing w:val="0"/>
          <w:kern w:val="0"/>
          <w:sz w:val="30"/>
          <w:szCs w:val="32"/>
          <w:lang w:val="en-US" w:eastAsia="zh-CN"/>
        </w:rPr>
      </w:pPr>
      <w:r>
        <w:rPr>
          <w:rFonts w:hint="eastAsia" w:ascii="Times New Roman" w:hAnsi="Times New Roman" w:eastAsia="仿宋_GB2312" w:cs="Times New Roman"/>
          <w:color w:val="auto"/>
          <w:spacing w:val="0"/>
          <w:kern w:val="0"/>
          <w:sz w:val="30"/>
          <w:szCs w:val="32"/>
          <w:lang w:val="en-US" w:eastAsia="zh-CN"/>
        </w:rPr>
        <w:t>3.包头市绿化养护技术导则</w:t>
      </w:r>
    </w:p>
    <w:p w14:paraId="061AFA7E">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eastAsia" w:ascii="Times New Roman" w:hAnsi="Times New Roman" w:eastAsia="仿宋_GB2312" w:cs="Times New Roman"/>
          <w:color w:val="auto"/>
          <w:spacing w:val="0"/>
          <w:kern w:val="0"/>
          <w:sz w:val="30"/>
          <w:szCs w:val="32"/>
          <w:lang w:val="en-US" w:eastAsia="zh-CN"/>
        </w:rPr>
      </w:pPr>
    </w:p>
    <w:p w14:paraId="540861A1">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00" w:firstLineChars="200"/>
        <w:jc w:val="both"/>
        <w:textAlignment w:val="auto"/>
        <w:rPr>
          <w:rFonts w:hint="eastAsia" w:ascii="Times New Roman" w:hAnsi="Times New Roman" w:eastAsia="仿宋_GB2312" w:cs="Times New Roman"/>
          <w:color w:val="auto"/>
          <w:spacing w:val="0"/>
          <w:kern w:val="0"/>
          <w:sz w:val="30"/>
          <w:szCs w:val="32"/>
          <w:lang w:val="en-US" w:eastAsia="zh-CN"/>
        </w:rPr>
      </w:pPr>
    </w:p>
    <w:p w14:paraId="6B72A315">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00" w:firstLineChars="200"/>
        <w:jc w:val="both"/>
        <w:textAlignment w:val="auto"/>
        <w:rPr>
          <w:rFonts w:hint="eastAsia" w:ascii="Times New Roman" w:hAnsi="Times New Roman" w:eastAsia="仿宋_GB2312" w:cs="Times New Roman"/>
          <w:color w:val="auto"/>
          <w:spacing w:val="0"/>
          <w:kern w:val="0"/>
          <w:sz w:val="30"/>
          <w:szCs w:val="32"/>
          <w:lang w:val="en-US" w:eastAsia="zh-CN"/>
        </w:rPr>
      </w:pPr>
    </w:p>
    <w:p w14:paraId="5BD91E21">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00" w:firstLineChars="200"/>
        <w:jc w:val="both"/>
        <w:textAlignment w:val="auto"/>
        <w:rPr>
          <w:rFonts w:hint="eastAsia" w:ascii="Times New Roman" w:hAnsi="Times New Roman" w:eastAsia="仿宋_GB2312" w:cs="Times New Roman"/>
          <w:color w:val="auto"/>
          <w:spacing w:val="0"/>
          <w:kern w:val="0"/>
          <w:sz w:val="30"/>
          <w:szCs w:val="32"/>
          <w:lang w:val="en-US" w:eastAsia="zh-CN"/>
        </w:rPr>
      </w:pPr>
    </w:p>
    <w:p w14:paraId="12DC5914">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00" w:firstLineChars="200"/>
        <w:jc w:val="both"/>
        <w:textAlignment w:val="auto"/>
        <w:rPr>
          <w:rFonts w:hint="eastAsia" w:ascii="Times New Roman" w:hAnsi="Times New Roman" w:eastAsia="仿宋_GB2312" w:cs="Times New Roman"/>
          <w:color w:val="auto"/>
          <w:spacing w:val="0"/>
          <w:kern w:val="0"/>
          <w:sz w:val="30"/>
          <w:szCs w:val="32"/>
          <w:lang w:val="en-US" w:eastAsia="zh-CN"/>
        </w:rPr>
      </w:pPr>
    </w:p>
    <w:p w14:paraId="54E0DC53">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eastAsia" w:ascii="黑体" w:hAnsi="黑体" w:eastAsia="黑体" w:cs="黑体"/>
          <w:color w:val="auto"/>
          <w:spacing w:val="0"/>
          <w:kern w:val="0"/>
          <w:sz w:val="30"/>
          <w:szCs w:val="32"/>
          <w:lang w:val="en-US" w:eastAsia="zh-CN"/>
        </w:rPr>
      </w:pPr>
      <w:r>
        <w:rPr>
          <w:rFonts w:hint="eastAsia" w:ascii="黑体" w:hAnsi="黑体" w:eastAsia="黑体" w:cs="黑体"/>
          <w:color w:val="auto"/>
          <w:spacing w:val="0"/>
          <w:kern w:val="0"/>
          <w:sz w:val="30"/>
          <w:szCs w:val="32"/>
          <w:lang w:val="en-US" w:eastAsia="zh-CN"/>
        </w:rPr>
        <w:t>附件1</w:t>
      </w:r>
    </w:p>
    <w:p w14:paraId="41F08077">
      <w:pPr>
        <w:keepNext w:val="0"/>
        <w:keepLines w:val="0"/>
        <w:pageBreakBefore w:val="0"/>
        <w:kinsoku/>
        <w:wordWrap/>
        <w:overflowPunct/>
        <w:topLinePunct w:val="0"/>
        <w:bidi w:val="0"/>
        <w:adjustRightInd w:val="0"/>
        <w:snapToGrid w:val="0"/>
        <w:spacing w:line="520" w:lineRule="exact"/>
        <w:jc w:val="center"/>
        <w:textAlignment w:val="auto"/>
        <w:rPr>
          <w:rFonts w:hint="default" w:ascii="方正小标宋_GBK" w:hAnsi="方正小标宋_GBK" w:eastAsia="方正小标宋_GBK" w:cs="方正小标宋_GBK"/>
          <w:bCs/>
          <w:color w:val="auto"/>
          <w:sz w:val="44"/>
          <w:szCs w:val="44"/>
          <w:lang w:val="en-US" w:eastAsia="zh-CN"/>
        </w:rPr>
      </w:pPr>
    </w:p>
    <w:p w14:paraId="3F645528">
      <w:pPr>
        <w:keepNext w:val="0"/>
        <w:keepLines w:val="0"/>
        <w:pageBreakBefore w:val="0"/>
        <w:kinsoku/>
        <w:wordWrap/>
        <w:overflowPunct/>
        <w:topLinePunct w:val="0"/>
        <w:bidi w:val="0"/>
        <w:adjustRightInd w:val="0"/>
        <w:snapToGrid w:val="0"/>
        <w:spacing w:line="520" w:lineRule="exact"/>
        <w:jc w:val="center"/>
        <w:textAlignment w:val="auto"/>
        <w:rPr>
          <w:rFonts w:hint="default" w:ascii="方正小标宋_GBK" w:hAnsi="方正小标宋_GBK" w:eastAsia="方正小标宋_GBK" w:cs="方正小标宋_GBK"/>
          <w:bCs/>
          <w:color w:val="auto"/>
          <w:sz w:val="44"/>
          <w:szCs w:val="44"/>
          <w:lang w:val="en-US" w:eastAsia="zh-CN"/>
        </w:rPr>
      </w:pPr>
      <w:r>
        <w:rPr>
          <w:rFonts w:hint="default" w:ascii="方正小标宋_GBK" w:hAnsi="方正小标宋_GBK" w:eastAsia="方正小标宋_GBK" w:cs="方正小标宋_GBK"/>
          <w:bCs/>
          <w:color w:val="auto"/>
          <w:sz w:val="44"/>
          <w:szCs w:val="44"/>
          <w:lang w:val="en-US" w:eastAsia="zh-CN"/>
        </w:rPr>
        <w:t>九原区国土绿化暨农村牧区通道绿化、</w:t>
      </w:r>
    </w:p>
    <w:p w14:paraId="08CCF4E5">
      <w:pPr>
        <w:keepNext w:val="0"/>
        <w:keepLines w:val="0"/>
        <w:pageBreakBefore w:val="0"/>
        <w:kinsoku/>
        <w:wordWrap/>
        <w:overflowPunct/>
        <w:topLinePunct w:val="0"/>
        <w:bidi w:val="0"/>
        <w:adjustRightInd w:val="0"/>
        <w:snapToGrid w:val="0"/>
        <w:spacing w:line="520" w:lineRule="exact"/>
        <w:jc w:val="center"/>
        <w:textAlignment w:val="auto"/>
        <w:rPr>
          <w:rFonts w:hint="default" w:ascii="方正小标宋_GBK" w:hAnsi="方正小标宋_GBK" w:eastAsia="方正小标宋_GBK" w:cs="方正小标宋_GBK"/>
          <w:bCs/>
          <w:color w:val="auto"/>
          <w:sz w:val="44"/>
          <w:szCs w:val="44"/>
          <w:lang w:val="en-US" w:eastAsia="zh-CN"/>
        </w:rPr>
      </w:pPr>
      <w:r>
        <w:rPr>
          <w:rFonts w:hint="default" w:ascii="方正小标宋_GBK" w:hAnsi="方正小标宋_GBK" w:eastAsia="方正小标宋_GBK" w:cs="方正小标宋_GBK"/>
          <w:bCs/>
          <w:color w:val="auto"/>
          <w:sz w:val="44"/>
          <w:szCs w:val="44"/>
          <w:lang w:val="en-US" w:eastAsia="zh-CN"/>
        </w:rPr>
        <w:t>村屯绿化树木养护工作细则</w:t>
      </w:r>
    </w:p>
    <w:p w14:paraId="20C1649A">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color w:val="auto"/>
          <w:spacing w:val="0"/>
          <w:kern w:val="0"/>
          <w:sz w:val="30"/>
          <w:szCs w:val="32"/>
          <w:lang w:val="en-US" w:eastAsia="zh-CN"/>
        </w:rPr>
      </w:pPr>
    </w:p>
    <w:p w14:paraId="64357A9D">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jc w:val="both"/>
        <w:textAlignment w:val="auto"/>
        <w:rPr>
          <w:rFonts w:hint="default" w:ascii="Times New Roman" w:hAnsi="Times New Roman" w:eastAsia="仿宋_GB2312" w:cs="Times New Roman"/>
          <w:color w:val="auto"/>
          <w:spacing w:val="0"/>
          <w:kern w:val="0"/>
          <w:sz w:val="30"/>
          <w:szCs w:val="32"/>
          <w:lang w:val="en-US" w:eastAsia="zh-CN"/>
        </w:rPr>
      </w:pPr>
      <w:r>
        <w:rPr>
          <w:rFonts w:hint="default" w:ascii="Times New Roman" w:hAnsi="Times New Roman" w:eastAsia="仿宋_GB2312" w:cs="Times New Roman"/>
          <w:color w:val="auto"/>
          <w:spacing w:val="0"/>
          <w:kern w:val="0"/>
          <w:sz w:val="30"/>
          <w:szCs w:val="32"/>
          <w:lang w:val="en-US" w:eastAsia="zh-CN"/>
        </w:rPr>
        <w:t>为进一步规范全区国土绿化暨农村牧区通道绿化、村屯绿化后期养护的日常运营维护管理，切实提高管理水平和养护质量，确保树木长势良好，根据相关法律法规和政策规定，结合绿化项目实际情况，制定本细则。</w:t>
      </w:r>
    </w:p>
    <w:p w14:paraId="259DF7BA">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jc w:val="both"/>
        <w:textAlignment w:val="auto"/>
        <w:rPr>
          <w:rFonts w:hint="eastAsia" w:ascii="黑体" w:hAnsi="黑体" w:eastAsia="黑体" w:cs="黑体"/>
          <w:color w:val="auto"/>
          <w:spacing w:val="0"/>
          <w:kern w:val="0"/>
          <w:sz w:val="30"/>
          <w:szCs w:val="32"/>
          <w:lang w:val="en-US" w:eastAsia="zh-CN"/>
        </w:rPr>
      </w:pPr>
      <w:r>
        <w:rPr>
          <w:rFonts w:hint="eastAsia" w:ascii="黑体" w:hAnsi="黑体" w:eastAsia="黑体" w:cs="黑体"/>
          <w:color w:val="auto"/>
          <w:spacing w:val="0"/>
          <w:kern w:val="0"/>
          <w:sz w:val="30"/>
          <w:szCs w:val="32"/>
          <w:lang w:val="en-US" w:eastAsia="zh-CN"/>
        </w:rPr>
        <w:t>一、考核细则</w:t>
      </w:r>
    </w:p>
    <w:p w14:paraId="1197CEFB">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jc w:val="both"/>
        <w:textAlignment w:val="auto"/>
        <w:rPr>
          <w:rFonts w:hint="eastAsia" w:ascii="楷体_GB2312" w:hAnsi="楷体_GB2312" w:eastAsia="楷体_GB2312" w:cs="楷体_GB2312"/>
          <w:color w:val="auto"/>
          <w:spacing w:val="0"/>
          <w:kern w:val="0"/>
          <w:sz w:val="30"/>
          <w:szCs w:val="32"/>
          <w:lang w:val="en-US" w:eastAsia="zh-CN"/>
        </w:rPr>
      </w:pPr>
      <w:r>
        <w:rPr>
          <w:rFonts w:hint="eastAsia" w:ascii="楷体_GB2312" w:hAnsi="楷体_GB2312" w:eastAsia="楷体_GB2312" w:cs="楷体_GB2312"/>
          <w:color w:val="auto"/>
          <w:spacing w:val="0"/>
          <w:kern w:val="0"/>
          <w:sz w:val="30"/>
          <w:szCs w:val="32"/>
          <w:lang w:val="en-US" w:eastAsia="zh-CN"/>
        </w:rPr>
        <w:t>（一）运营管理体系</w:t>
      </w:r>
    </w:p>
    <w:p w14:paraId="124A5E25">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jc w:val="both"/>
        <w:textAlignment w:val="auto"/>
        <w:rPr>
          <w:rFonts w:hint="default" w:ascii="Times New Roman" w:hAnsi="Times New Roman" w:eastAsia="仿宋_GB2312" w:cs="Times New Roman"/>
          <w:color w:val="auto"/>
          <w:spacing w:val="0"/>
          <w:kern w:val="0"/>
          <w:sz w:val="30"/>
          <w:szCs w:val="32"/>
          <w:lang w:val="en-US" w:eastAsia="zh-CN"/>
        </w:rPr>
      </w:pPr>
      <w:r>
        <w:rPr>
          <w:rFonts w:hint="default" w:ascii="Times New Roman" w:hAnsi="Times New Roman" w:eastAsia="仿宋_GB2312" w:cs="Times New Roman"/>
          <w:color w:val="auto"/>
          <w:spacing w:val="0"/>
          <w:kern w:val="0"/>
          <w:sz w:val="30"/>
          <w:szCs w:val="32"/>
          <w:lang w:val="en-US" w:eastAsia="zh-CN"/>
        </w:rPr>
        <w:t>1.运营管理体系健全</w:t>
      </w:r>
      <w:r>
        <w:rPr>
          <w:rFonts w:hint="eastAsia" w:ascii="Times New Roman" w:hAnsi="Times New Roman" w:eastAsia="仿宋_GB2312" w:cs="Times New Roman"/>
          <w:color w:val="auto"/>
          <w:spacing w:val="0"/>
          <w:kern w:val="0"/>
          <w:sz w:val="30"/>
          <w:szCs w:val="32"/>
          <w:lang w:val="en-US" w:eastAsia="zh-CN"/>
        </w:rPr>
        <w:t>：</w:t>
      </w:r>
      <w:r>
        <w:rPr>
          <w:rFonts w:hint="default" w:ascii="Times New Roman" w:hAnsi="Times New Roman" w:eastAsia="仿宋_GB2312" w:cs="Times New Roman"/>
          <w:color w:val="auto"/>
          <w:spacing w:val="0"/>
          <w:kern w:val="0"/>
          <w:sz w:val="30"/>
          <w:szCs w:val="32"/>
          <w:lang w:val="en-US" w:eastAsia="zh-CN"/>
        </w:rPr>
        <w:t>组织机构健全，日常运作职责明确，分工到位，制度健全，人员培训到位。</w:t>
      </w:r>
    </w:p>
    <w:p w14:paraId="4C413FC7">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jc w:val="both"/>
        <w:textAlignment w:val="auto"/>
        <w:rPr>
          <w:rFonts w:hint="default" w:ascii="Times New Roman" w:hAnsi="Times New Roman" w:eastAsia="仿宋_GB2312" w:cs="Times New Roman"/>
          <w:color w:val="auto"/>
          <w:spacing w:val="0"/>
          <w:kern w:val="0"/>
          <w:sz w:val="30"/>
          <w:szCs w:val="32"/>
          <w:lang w:val="en-US" w:eastAsia="zh-CN"/>
        </w:rPr>
      </w:pPr>
      <w:r>
        <w:rPr>
          <w:rFonts w:hint="default" w:ascii="Times New Roman" w:hAnsi="Times New Roman" w:eastAsia="仿宋_GB2312" w:cs="Times New Roman"/>
          <w:color w:val="auto"/>
          <w:spacing w:val="0"/>
          <w:kern w:val="0"/>
          <w:sz w:val="30"/>
          <w:szCs w:val="32"/>
          <w:lang w:val="en-US" w:eastAsia="zh-CN"/>
        </w:rPr>
        <w:t>2.制定养护计划，计划完善，重难点突出，标准明确，措施到位，成效显著。</w:t>
      </w:r>
    </w:p>
    <w:p w14:paraId="578501EE">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jc w:val="both"/>
        <w:textAlignment w:val="auto"/>
        <w:rPr>
          <w:rFonts w:hint="default" w:ascii="Times New Roman" w:hAnsi="Times New Roman" w:eastAsia="仿宋_GB2312" w:cs="Times New Roman"/>
          <w:color w:val="auto"/>
          <w:spacing w:val="0"/>
          <w:kern w:val="0"/>
          <w:sz w:val="30"/>
          <w:szCs w:val="32"/>
          <w:lang w:val="en-US" w:eastAsia="zh-CN"/>
        </w:rPr>
      </w:pPr>
      <w:r>
        <w:rPr>
          <w:rFonts w:hint="default" w:ascii="Times New Roman" w:hAnsi="Times New Roman" w:eastAsia="仿宋_GB2312" w:cs="Times New Roman"/>
          <w:color w:val="auto"/>
          <w:spacing w:val="0"/>
          <w:kern w:val="0"/>
          <w:sz w:val="30"/>
          <w:szCs w:val="32"/>
          <w:lang w:val="en-US" w:eastAsia="zh-CN"/>
        </w:rPr>
        <w:t>3.有专业的技术人员和专业的设备。</w:t>
      </w:r>
    </w:p>
    <w:p w14:paraId="68BF729C">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jc w:val="both"/>
        <w:textAlignment w:val="auto"/>
        <w:rPr>
          <w:rFonts w:hint="default" w:ascii="Times New Roman" w:hAnsi="Times New Roman" w:eastAsia="仿宋_GB2312" w:cs="Times New Roman"/>
          <w:color w:val="auto"/>
          <w:spacing w:val="0"/>
          <w:kern w:val="0"/>
          <w:sz w:val="30"/>
          <w:szCs w:val="32"/>
          <w:lang w:val="en-US" w:eastAsia="zh-CN"/>
        </w:rPr>
      </w:pPr>
      <w:r>
        <w:rPr>
          <w:rFonts w:hint="default" w:ascii="Times New Roman" w:hAnsi="Times New Roman" w:eastAsia="仿宋_GB2312" w:cs="Times New Roman"/>
          <w:color w:val="auto"/>
          <w:spacing w:val="0"/>
          <w:kern w:val="0"/>
          <w:sz w:val="30"/>
          <w:szCs w:val="32"/>
          <w:lang w:val="en-US" w:eastAsia="zh-CN"/>
        </w:rPr>
        <w:t>4.资金使用合理</w:t>
      </w:r>
      <w:r>
        <w:rPr>
          <w:rFonts w:hint="eastAsia" w:ascii="Times New Roman" w:hAnsi="Times New Roman" w:eastAsia="仿宋_GB2312" w:cs="Times New Roman"/>
          <w:color w:val="auto"/>
          <w:spacing w:val="0"/>
          <w:kern w:val="0"/>
          <w:sz w:val="30"/>
          <w:szCs w:val="32"/>
          <w:lang w:val="en-US" w:eastAsia="zh-CN"/>
        </w:rPr>
        <w:t>，</w:t>
      </w:r>
      <w:r>
        <w:rPr>
          <w:rFonts w:hint="default" w:ascii="Times New Roman" w:hAnsi="Times New Roman" w:eastAsia="仿宋_GB2312" w:cs="Times New Roman"/>
          <w:color w:val="auto"/>
          <w:spacing w:val="0"/>
          <w:kern w:val="0"/>
          <w:sz w:val="30"/>
          <w:szCs w:val="32"/>
          <w:lang w:val="en-US" w:eastAsia="zh-CN"/>
        </w:rPr>
        <w:t>有稳定来源且能按时足额到位</w:t>
      </w:r>
      <w:r>
        <w:rPr>
          <w:rFonts w:hint="eastAsia" w:ascii="Times New Roman" w:hAnsi="Times New Roman" w:eastAsia="仿宋_GB2312" w:cs="Times New Roman"/>
          <w:color w:val="auto"/>
          <w:spacing w:val="0"/>
          <w:kern w:val="0"/>
          <w:sz w:val="30"/>
          <w:szCs w:val="32"/>
          <w:lang w:val="en-US" w:eastAsia="zh-CN"/>
        </w:rPr>
        <w:t>，</w:t>
      </w:r>
      <w:r>
        <w:rPr>
          <w:rFonts w:hint="default" w:ascii="Times New Roman" w:hAnsi="Times New Roman" w:eastAsia="仿宋_GB2312" w:cs="Times New Roman"/>
          <w:color w:val="auto"/>
          <w:spacing w:val="0"/>
          <w:kern w:val="0"/>
          <w:sz w:val="30"/>
          <w:szCs w:val="32"/>
          <w:lang w:val="en-US" w:eastAsia="zh-CN"/>
        </w:rPr>
        <w:t>保证专款专用，无截留、挪用、拖欠等，无虚报、冒领等。</w:t>
      </w:r>
    </w:p>
    <w:p w14:paraId="5314E5FA">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jc w:val="both"/>
        <w:textAlignment w:val="auto"/>
        <w:rPr>
          <w:rFonts w:hint="default" w:ascii="Times New Roman" w:hAnsi="Times New Roman" w:eastAsia="仿宋_GB2312" w:cs="Times New Roman"/>
          <w:color w:val="auto"/>
          <w:spacing w:val="0"/>
          <w:kern w:val="0"/>
          <w:sz w:val="30"/>
          <w:szCs w:val="32"/>
          <w:lang w:val="en-US" w:eastAsia="zh-CN"/>
        </w:rPr>
      </w:pPr>
      <w:r>
        <w:rPr>
          <w:rFonts w:hint="default" w:ascii="Times New Roman" w:hAnsi="Times New Roman" w:eastAsia="仿宋_GB2312" w:cs="Times New Roman"/>
          <w:color w:val="auto"/>
          <w:spacing w:val="0"/>
          <w:kern w:val="0"/>
          <w:sz w:val="30"/>
          <w:szCs w:val="32"/>
          <w:lang w:val="en-US" w:eastAsia="zh-CN"/>
        </w:rPr>
        <w:t>5.建立各种台账资料，数据准确齐全，每项工程一个档案，信息保留完好。</w:t>
      </w:r>
    </w:p>
    <w:p w14:paraId="7EEE5CAB">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jc w:val="both"/>
        <w:textAlignment w:val="auto"/>
        <w:rPr>
          <w:rFonts w:hint="default" w:ascii="Times New Roman" w:hAnsi="Times New Roman" w:eastAsia="仿宋_GB2312" w:cs="Times New Roman"/>
          <w:color w:val="auto"/>
          <w:spacing w:val="0"/>
          <w:kern w:val="0"/>
          <w:sz w:val="30"/>
          <w:szCs w:val="32"/>
          <w:lang w:val="en-US" w:eastAsia="zh-CN"/>
        </w:rPr>
      </w:pPr>
      <w:r>
        <w:rPr>
          <w:rFonts w:hint="default" w:ascii="Times New Roman" w:hAnsi="Times New Roman" w:eastAsia="仿宋_GB2312" w:cs="Times New Roman"/>
          <w:color w:val="auto"/>
          <w:spacing w:val="0"/>
          <w:kern w:val="0"/>
          <w:sz w:val="30"/>
          <w:szCs w:val="32"/>
          <w:lang w:val="en-US" w:eastAsia="zh-CN"/>
        </w:rPr>
        <w:t>6.按照甲方或上级主管部门下发的整改通知书进行整改，并书面上报整改结果。</w:t>
      </w:r>
    </w:p>
    <w:p w14:paraId="123BD344">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jc w:val="both"/>
        <w:textAlignment w:val="auto"/>
        <w:rPr>
          <w:rFonts w:hint="eastAsia" w:ascii="楷体_GB2312" w:hAnsi="楷体_GB2312" w:eastAsia="楷体_GB2312" w:cs="楷体_GB2312"/>
          <w:color w:val="auto"/>
          <w:spacing w:val="0"/>
          <w:kern w:val="0"/>
          <w:sz w:val="30"/>
          <w:szCs w:val="32"/>
          <w:lang w:val="en-US" w:eastAsia="zh-CN"/>
        </w:rPr>
      </w:pPr>
      <w:r>
        <w:rPr>
          <w:rFonts w:hint="eastAsia" w:ascii="楷体_GB2312" w:hAnsi="楷体_GB2312" w:eastAsia="楷体_GB2312" w:cs="楷体_GB2312"/>
          <w:color w:val="auto"/>
          <w:spacing w:val="0"/>
          <w:kern w:val="0"/>
          <w:sz w:val="30"/>
          <w:szCs w:val="32"/>
          <w:lang w:val="en-US" w:eastAsia="zh-CN"/>
        </w:rPr>
        <w:t>（二）树木养护</w:t>
      </w:r>
    </w:p>
    <w:p w14:paraId="593188B0">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jc w:val="both"/>
        <w:textAlignment w:val="auto"/>
        <w:rPr>
          <w:rFonts w:hint="default" w:ascii="Times New Roman" w:hAnsi="Times New Roman" w:eastAsia="仿宋_GB2312" w:cs="Times New Roman"/>
          <w:color w:val="auto"/>
          <w:spacing w:val="0"/>
          <w:kern w:val="0"/>
          <w:sz w:val="30"/>
          <w:szCs w:val="32"/>
          <w:lang w:val="en-US" w:eastAsia="zh-CN"/>
        </w:rPr>
      </w:pPr>
      <w:r>
        <w:rPr>
          <w:rFonts w:hint="default" w:ascii="Times New Roman" w:hAnsi="Times New Roman" w:eastAsia="仿宋_GB2312" w:cs="Times New Roman"/>
          <w:color w:val="auto"/>
          <w:spacing w:val="0"/>
          <w:kern w:val="0"/>
          <w:sz w:val="30"/>
          <w:szCs w:val="32"/>
          <w:lang w:val="en-US" w:eastAsia="zh-CN"/>
        </w:rPr>
        <w:t>1.浇水</w:t>
      </w:r>
      <w:r>
        <w:rPr>
          <w:rFonts w:hint="eastAsia" w:ascii="Times New Roman" w:hAnsi="Times New Roman" w:eastAsia="仿宋_GB2312" w:cs="Times New Roman"/>
          <w:color w:val="auto"/>
          <w:spacing w:val="0"/>
          <w:kern w:val="0"/>
          <w:sz w:val="30"/>
          <w:szCs w:val="32"/>
          <w:lang w:val="en-US" w:eastAsia="zh-CN"/>
        </w:rPr>
        <w:t>：</w:t>
      </w:r>
      <w:r>
        <w:rPr>
          <w:rFonts w:hint="default" w:ascii="Times New Roman" w:hAnsi="Times New Roman" w:eastAsia="仿宋_GB2312" w:cs="Times New Roman"/>
          <w:color w:val="auto"/>
          <w:spacing w:val="0"/>
          <w:kern w:val="0"/>
          <w:sz w:val="30"/>
          <w:szCs w:val="32"/>
          <w:lang w:val="en-US" w:eastAsia="zh-CN"/>
        </w:rPr>
        <w:t>全年浇水6次</w:t>
      </w:r>
      <w:r>
        <w:rPr>
          <w:rFonts w:hint="eastAsia" w:ascii="Times New Roman" w:hAnsi="Times New Roman" w:eastAsia="仿宋_GB2312" w:cs="Times New Roman"/>
          <w:color w:val="auto"/>
          <w:spacing w:val="0"/>
          <w:kern w:val="0"/>
          <w:sz w:val="30"/>
          <w:szCs w:val="32"/>
          <w:lang w:val="en-US" w:eastAsia="zh-CN"/>
        </w:rPr>
        <w:t>，</w:t>
      </w:r>
      <w:r>
        <w:rPr>
          <w:rFonts w:hint="default" w:ascii="Times New Roman" w:hAnsi="Times New Roman" w:eastAsia="仿宋_GB2312" w:cs="Times New Roman"/>
          <w:color w:val="auto"/>
          <w:spacing w:val="0"/>
          <w:kern w:val="0"/>
          <w:sz w:val="30"/>
          <w:szCs w:val="32"/>
          <w:lang w:val="en-US" w:eastAsia="zh-CN"/>
        </w:rPr>
        <w:t>如遇雨水充足年份可适度减少浇水次数，如遇干旱年份可增加浇水次数。</w:t>
      </w:r>
    </w:p>
    <w:p w14:paraId="13C5969B">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jc w:val="both"/>
        <w:textAlignment w:val="auto"/>
        <w:rPr>
          <w:rFonts w:hint="default" w:ascii="Times New Roman" w:hAnsi="Times New Roman" w:eastAsia="仿宋_GB2312" w:cs="Times New Roman"/>
          <w:color w:val="auto"/>
          <w:spacing w:val="0"/>
          <w:kern w:val="0"/>
          <w:sz w:val="30"/>
          <w:szCs w:val="32"/>
          <w:lang w:val="en-US" w:eastAsia="zh-CN"/>
        </w:rPr>
      </w:pPr>
      <w:r>
        <w:rPr>
          <w:rFonts w:hint="default" w:ascii="Times New Roman" w:hAnsi="Times New Roman" w:eastAsia="仿宋_GB2312" w:cs="Times New Roman"/>
          <w:color w:val="auto"/>
          <w:spacing w:val="0"/>
          <w:kern w:val="0"/>
          <w:sz w:val="30"/>
          <w:szCs w:val="32"/>
          <w:lang w:val="en-US" w:eastAsia="zh-CN"/>
        </w:rPr>
        <w:t>2.除草</w:t>
      </w:r>
      <w:r>
        <w:rPr>
          <w:rFonts w:hint="eastAsia" w:ascii="Times New Roman" w:hAnsi="Times New Roman" w:eastAsia="仿宋_GB2312" w:cs="Times New Roman"/>
          <w:color w:val="auto"/>
          <w:spacing w:val="0"/>
          <w:kern w:val="0"/>
          <w:sz w:val="30"/>
          <w:szCs w:val="32"/>
          <w:lang w:val="en-US" w:eastAsia="zh-CN"/>
        </w:rPr>
        <w:t>：</w:t>
      </w:r>
      <w:r>
        <w:rPr>
          <w:rFonts w:hint="default" w:ascii="Times New Roman" w:hAnsi="Times New Roman" w:eastAsia="仿宋_GB2312" w:cs="Times New Roman"/>
          <w:color w:val="auto"/>
          <w:spacing w:val="0"/>
          <w:kern w:val="0"/>
          <w:sz w:val="30"/>
          <w:szCs w:val="32"/>
          <w:lang w:val="en-US" w:eastAsia="zh-CN"/>
        </w:rPr>
        <w:t>全年除草1次，没有杂草干净整洁。</w:t>
      </w:r>
    </w:p>
    <w:p w14:paraId="1F22080B">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jc w:val="both"/>
        <w:textAlignment w:val="auto"/>
        <w:rPr>
          <w:rFonts w:hint="default" w:ascii="Times New Roman" w:hAnsi="Times New Roman" w:eastAsia="仿宋_GB2312" w:cs="Times New Roman"/>
          <w:color w:val="auto"/>
          <w:spacing w:val="0"/>
          <w:kern w:val="0"/>
          <w:sz w:val="30"/>
          <w:szCs w:val="32"/>
          <w:lang w:val="en-US" w:eastAsia="zh-CN"/>
        </w:rPr>
      </w:pPr>
      <w:r>
        <w:rPr>
          <w:rFonts w:hint="default" w:ascii="Times New Roman" w:hAnsi="Times New Roman" w:eastAsia="仿宋_GB2312" w:cs="Times New Roman"/>
          <w:color w:val="auto"/>
          <w:spacing w:val="0"/>
          <w:kern w:val="0"/>
          <w:sz w:val="30"/>
          <w:szCs w:val="32"/>
          <w:lang w:val="en-US" w:eastAsia="zh-CN"/>
        </w:rPr>
        <w:t>3.修剪</w:t>
      </w:r>
      <w:r>
        <w:rPr>
          <w:rFonts w:hint="eastAsia" w:ascii="Times New Roman" w:hAnsi="Times New Roman" w:eastAsia="仿宋_GB2312" w:cs="Times New Roman"/>
          <w:color w:val="auto"/>
          <w:spacing w:val="0"/>
          <w:kern w:val="0"/>
          <w:sz w:val="30"/>
          <w:szCs w:val="32"/>
          <w:lang w:val="en-US" w:eastAsia="zh-CN"/>
        </w:rPr>
        <w:t>：</w:t>
      </w:r>
      <w:r>
        <w:rPr>
          <w:rFonts w:hint="default" w:ascii="Times New Roman" w:hAnsi="Times New Roman" w:eastAsia="仿宋_GB2312" w:cs="Times New Roman"/>
          <w:color w:val="auto"/>
          <w:spacing w:val="0"/>
          <w:kern w:val="0"/>
          <w:sz w:val="30"/>
          <w:szCs w:val="32"/>
          <w:lang w:val="en-US" w:eastAsia="zh-CN"/>
        </w:rPr>
        <w:t>全年落叶乔木及时人工抹芽，去除死枝、提干和绿篱整形修剪。</w:t>
      </w:r>
    </w:p>
    <w:p w14:paraId="32AC39DD">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jc w:val="both"/>
        <w:textAlignment w:val="auto"/>
        <w:rPr>
          <w:rFonts w:hint="default" w:ascii="Times New Roman" w:hAnsi="Times New Roman" w:eastAsia="仿宋_GB2312" w:cs="Times New Roman"/>
          <w:color w:val="auto"/>
          <w:spacing w:val="0"/>
          <w:kern w:val="0"/>
          <w:sz w:val="30"/>
          <w:szCs w:val="32"/>
          <w:lang w:val="en-US" w:eastAsia="zh-CN"/>
        </w:rPr>
      </w:pPr>
      <w:r>
        <w:rPr>
          <w:rFonts w:hint="default" w:ascii="Times New Roman" w:hAnsi="Times New Roman" w:eastAsia="仿宋_GB2312" w:cs="Times New Roman"/>
          <w:color w:val="auto"/>
          <w:spacing w:val="0"/>
          <w:kern w:val="0"/>
          <w:sz w:val="30"/>
          <w:szCs w:val="32"/>
          <w:lang w:val="en-US" w:eastAsia="zh-CN"/>
        </w:rPr>
        <w:t>4.病虫害防治</w:t>
      </w:r>
      <w:r>
        <w:rPr>
          <w:rFonts w:hint="eastAsia" w:ascii="Times New Roman" w:hAnsi="Times New Roman" w:eastAsia="仿宋_GB2312" w:cs="Times New Roman"/>
          <w:color w:val="auto"/>
          <w:spacing w:val="0"/>
          <w:kern w:val="0"/>
          <w:sz w:val="30"/>
          <w:szCs w:val="32"/>
          <w:lang w:val="en-US" w:eastAsia="zh-CN"/>
        </w:rPr>
        <w:t>：</w:t>
      </w:r>
      <w:r>
        <w:rPr>
          <w:rFonts w:hint="default" w:ascii="Times New Roman" w:hAnsi="Times New Roman" w:eastAsia="仿宋_GB2312" w:cs="Times New Roman"/>
          <w:color w:val="auto"/>
          <w:spacing w:val="0"/>
          <w:kern w:val="0"/>
          <w:sz w:val="30"/>
          <w:szCs w:val="32"/>
          <w:lang w:val="en-US" w:eastAsia="zh-CN"/>
        </w:rPr>
        <w:t>全年对苗木喷药1次，坚持</w:t>
      </w:r>
      <w:r>
        <w:rPr>
          <w:rFonts w:hint="eastAsia" w:ascii="Times New Roman" w:hAnsi="Times New Roman" w:eastAsia="仿宋_GB2312" w:cs="Times New Roman"/>
          <w:color w:val="auto"/>
          <w:spacing w:val="0"/>
          <w:kern w:val="0"/>
          <w:sz w:val="30"/>
          <w:szCs w:val="32"/>
          <w:lang w:val="en-US" w:eastAsia="zh-CN"/>
        </w:rPr>
        <w:t>“</w:t>
      </w:r>
      <w:r>
        <w:rPr>
          <w:rFonts w:hint="default" w:ascii="Times New Roman" w:hAnsi="Times New Roman" w:eastAsia="仿宋_GB2312" w:cs="Times New Roman"/>
          <w:color w:val="auto"/>
          <w:spacing w:val="0"/>
          <w:kern w:val="0"/>
          <w:sz w:val="30"/>
          <w:szCs w:val="32"/>
          <w:lang w:val="en-US" w:eastAsia="zh-CN"/>
        </w:rPr>
        <w:t>预防为主、综合防治</w:t>
      </w:r>
      <w:r>
        <w:rPr>
          <w:rFonts w:hint="eastAsia" w:ascii="Times New Roman" w:hAnsi="Times New Roman" w:eastAsia="仿宋_GB2312" w:cs="Times New Roman"/>
          <w:color w:val="auto"/>
          <w:spacing w:val="0"/>
          <w:kern w:val="0"/>
          <w:sz w:val="30"/>
          <w:szCs w:val="32"/>
          <w:lang w:val="en-US" w:eastAsia="zh-CN"/>
        </w:rPr>
        <w:t>”</w:t>
      </w:r>
      <w:r>
        <w:rPr>
          <w:rFonts w:hint="default" w:ascii="Times New Roman" w:hAnsi="Times New Roman" w:eastAsia="仿宋_GB2312" w:cs="Times New Roman"/>
          <w:color w:val="auto"/>
          <w:spacing w:val="0"/>
          <w:kern w:val="0"/>
          <w:sz w:val="30"/>
          <w:szCs w:val="32"/>
          <w:lang w:val="en-US" w:eastAsia="zh-CN"/>
        </w:rPr>
        <w:t>的原则。</w:t>
      </w:r>
    </w:p>
    <w:p w14:paraId="0F355CC4">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jc w:val="both"/>
        <w:textAlignment w:val="auto"/>
        <w:rPr>
          <w:rFonts w:hint="default" w:ascii="Times New Roman" w:hAnsi="Times New Roman" w:eastAsia="仿宋_GB2312" w:cs="Times New Roman"/>
          <w:color w:val="auto"/>
          <w:spacing w:val="0"/>
          <w:kern w:val="0"/>
          <w:sz w:val="30"/>
          <w:szCs w:val="32"/>
          <w:lang w:val="en-US" w:eastAsia="zh-CN"/>
        </w:rPr>
      </w:pPr>
      <w:r>
        <w:rPr>
          <w:rFonts w:hint="default" w:ascii="Times New Roman" w:hAnsi="Times New Roman" w:eastAsia="仿宋_GB2312" w:cs="Times New Roman"/>
          <w:color w:val="auto"/>
          <w:spacing w:val="0"/>
          <w:kern w:val="0"/>
          <w:sz w:val="30"/>
          <w:szCs w:val="32"/>
          <w:lang w:val="en-US" w:eastAsia="zh-CN"/>
        </w:rPr>
        <w:t>5.保洁</w:t>
      </w:r>
      <w:r>
        <w:rPr>
          <w:rFonts w:hint="eastAsia" w:ascii="Times New Roman" w:hAnsi="Times New Roman" w:eastAsia="仿宋_GB2312" w:cs="Times New Roman"/>
          <w:color w:val="auto"/>
          <w:spacing w:val="0"/>
          <w:kern w:val="0"/>
          <w:sz w:val="30"/>
          <w:szCs w:val="32"/>
          <w:lang w:val="en-US" w:eastAsia="zh-CN"/>
        </w:rPr>
        <w:t>：</w:t>
      </w:r>
      <w:r>
        <w:rPr>
          <w:rFonts w:hint="default" w:ascii="Times New Roman" w:hAnsi="Times New Roman" w:eastAsia="仿宋_GB2312" w:cs="Times New Roman"/>
          <w:color w:val="auto"/>
          <w:spacing w:val="0"/>
          <w:kern w:val="0"/>
          <w:sz w:val="30"/>
          <w:szCs w:val="32"/>
          <w:lang w:val="en-US" w:eastAsia="zh-CN"/>
        </w:rPr>
        <w:t>全年365天保洁，做到项目区卫生干净整洁。</w:t>
      </w:r>
    </w:p>
    <w:p w14:paraId="5313390F">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jc w:val="both"/>
        <w:textAlignment w:val="auto"/>
        <w:rPr>
          <w:rFonts w:hint="default" w:ascii="Times New Roman" w:hAnsi="Times New Roman" w:eastAsia="仿宋_GB2312" w:cs="Times New Roman"/>
          <w:color w:val="auto"/>
          <w:spacing w:val="0"/>
          <w:kern w:val="0"/>
          <w:sz w:val="30"/>
          <w:szCs w:val="32"/>
          <w:lang w:val="en-US" w:eastAsia="zh-CN"/>
        </w:rPr>
      </w:pPr>
      <w:r>
        <w:rPr>
          <w:rFonts w:hint="default" w:ascii="Times New Roman" w:hAnsi="Times New Roman" w:eastAsia="仿宋_GB2312" w:cs="Times New Roman"/>
          <w:color w:val="auto"/>
          <w:spacing w:val="0"/>
          <w:kern w:val="0"/>
          <w:sz w:val="30"/>
          <w:szCs w:val="32"/>
          <w:lang w:val="en-US" w:eastAsia="zh-CN"/>
        </w:rPr>
        <w:t>6.安全生产及森林防火</w:t>
      </w:r>
      <w:r>
        <w:rPr>
          <w:rFonts w:hint="eastAsia" w:ascii="Times New Roman" w:hAnsi="Times New Roman" w:eastAsia="仿宋_GB2312" w:cs="Times New Roman"/>
          <w:color w:val="auto"/>
          <w:spacing w:val="0"/>
          <w:kern w:val="0"/>
          <w:sz w:val="30"/>
          <w:szCs w:val="32"/>
          <w:lang w:val="en-US" w:eastAsia="zh-CN"/>
        </w:rPr>
        <w:t>：</w:t>
      </w:r>
      <w:r>
        <w:rPr>
          <w:rFonts w:hint="default" w:ascii="Times New Roman" w:hAnsi="Times New Roman" w:eastAsia="仿宋_GB2312" w:cs="Times New Roman"/>
          <w:color w:val="auto"/>
          <w:spacing w:val="0"/>
          <w:kern w:val="0"/>
          <w:sz w:val="30"/>
          <w:szCs w:val="32"/>
          <w:lang w:val="en-US" w:eastAsia="zh-CN"/>
        </w:rPr>
        <w:t>确保全年不发生安全生产事故及森林火灾。</w:t>
      </w:r>
    </w:p>
    <w:p w14:paraId="7F27F74F">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jc w:val="both"/>
        <w:textAlignment w:val="auto"/>
        <w:rPr>
          <w:rFonts w:hint="default" w:ascii="Times New Roman" w:hAnsi="Times New Roman" w:eastAsia="仿宋_GB2312" w:cs="Times New Roman"/>
          <w:color w:val="auto"/>
          <w:spacing w:val="0"/>
          <w:kern w:val="0"/>
          <w:sz w:val="30"/>
          <w:szCs w:val="32"/>
          <w:lang w:val="en-US" w:eastAsia="zh-CN"/>
        </w:rPr>
      </w:pPr>
      <w:r>
        <w:rPr>
          <w:rFonts w:hint="default" w:ascii="Times New Roman" w:hAnsi="Times New Roman" w:eastAsia="仿宋_GB2312" w:cs="Times New Roman"/>
          <w:color w:val="auto"/>
          <w:spacing w:val="0"/>
          <w:kern w:val="0"/>
          <w:sz w:val="30"/>
          <w:szCs w:val="32"/>
          <w:lang w:val="en-US" w:eastAsia="zh-CN"/>
        </w:rPr>
        <w:t>7.保存率</w:t>
      </w:r>
      <w:r>
        <w:rPr>
          <w:rFonts w:hint="eastAsia" w:ascii="Times New Roman" w:hAnsi="Times New Roman" w:eastAsia="仿宋_GB2312" w:cs="Times New Roman"/>
          <w:color w:val="auto"/>
          <w:spacing w:val="0"/>
          <w:kern w:val="0"/>
          <w:sz w:val="30"/>
          <w:szCs w:val="32"/>
          <w:lang w:val="en-US" w:eastAsia="zh-CN"/>
        </w:rPr>
        <w:t>：</w:t>
      </w:r>
      <w:r>
        <w:rPr>
          <w:rFonts w:hint="default" w:ascii="Times New Roman" w:hAnsi="Times New Roman" w:eastAsia="仿宋_GB2312" w:cs="Times New Roman"/>
          <w:color w:val="auto"/>
          <w:spacing w:val="0"/>
          <w:kern w:val="0"/>
          <w:sz w:val="30"/>
          <w:szCs w:val="32"/>
          <w:lang w:val="en-US" w:eastAsia="zh-CN"/>
        </w:rPr>
        <w:t>按照养护清单数量年底由苏木镇、国有林场负责验收苗木保存率，保存率到达95%以上</w:t>
      </w:r>
      <w:r>
        <w:rPr>
          <w:rFonts w:hint="eastAsia" w:ascii="Times New Roman" w:hAnsi="Times New Roman" w:eastAsia="仿宋_GB2312" w:cs="Times New Roman"/>
          <w:color w:val="auto"/>
          <w:spacing w:val="0"/>
          <w:kern w:val="0"/>
          <w:sz w:val="30"/>
          <w:szCs w:val="32"/>
          <w:lang w:val="en-US" w:eastAsia="zh-CN"/>
        </w:rPr>
        <w:t>（</w:t>
      </w:r>
      <w:r>
        <w:rPr>
          <w:rFonts w:hint="default" w:ascii="Times New Roman" w:hAnsi="Times New Roman" w:eastAsia="仿宋_GB2312" w:cs="Times New Roman"/>
          <w:color w:val="auto"/>
          <w:spacing w:val="0"/>
          <w:kern w:val="0"/>
          <w:sz w:val="30"/>
          <w:szCs w:val="32"/>
          <w:lang w:val="en-US" w:eastAsia="zh-CN"/>
        </w:rPr>
        <w:t>含95</w:t>
      </w:r>
      <w:r>
        <w:rPr>
          <w:rFonts w:hint="eastAsia" w:ascii="Times New Roman" w:hAnsi="Times New Roman" w:eastAsia="仿宋_GB2312" w:cs="Times New Roman"/>
          <w:color w:val="auto"/>
          <w:spacing w:val="0"/>
          <w:kern w:val="0"/>
          <w:sz w:val="30"/>
          <w:szCs w:val="32"/>
          <w:lang w:val="en-US" w:eastAsia="zh-CN"/>
        </w:rPr>
        <w:t>）</w:t>
      </w:r>
      <w:r>
        <w:rPr>
          <w:rFonts w:hint="default" w:ascii="Times New Roman" w:hAnsi="Times New Roman" w:eastAsia="仿宋_GB2312" w:cs="Times New Roman"/>
          <w:color w:val="auto"/>
          <w:spacing w:val="0"/>
          <w:kern w:val="0"/>
          <w:sz w:val="30"/>
          <w:szCs w:val="32"/>
          <w:lang w:val="en-US" w:eastAsia="zh-CN"/>
        </w:rPr>
        <w:t>工程款全部支付，保存率达到85%</w:t>
      </w:r>
      <w:r>
        <w:rPr>
          <w:rFonts w:hint="eastAsia" w:ascii="Times New Roman" w:hAnsi="Times New Roman" w:eastAsia="仿宋_GB2312" w:cs="Times New Roman"/>
          <w:color w:val="auto"/>
          <w:spacing w:val="0"/>
          <w:kern w:val="0"/>
          <w:sz w:val="30"/>
          <w:szCs w:val="32"/>
          <w:lang w:val="en-US" w:eastAsia="zh-CN"/>
        </w:rPr>
        <w:t>—</w:t>
      </w:r>
      <w:r>
        <w:rPr>
          <w:rFonts w:hint="default" w:ascii="Times New Roman" w:hAnsi="Times New Roman" w:eastAsia="仿宋_GB2312" w:cs="Times New Roman"/>
          <w:color w:val="auto"/>
          <w:spacing w:val="0"/>
          <w:kern w:val="0"/>
          <w:sz w:val="30"/>
          <w:szCs w:val="32"/>
          <w:lang w:val="en-US" w:eastAsia="zh-CN"/>
        </w:rPr>
        <w:t>94%工程款支付90%，保存率达到75%</w:t>
      </w:r>
      <w:r>
        <w:rPr>
          <w:rFonts w:hint="eastAsia" w:ascii="Times New Roman" w:hAnsi="Times New Roman" w:eastAsia="仿宋_GB2312" w:cs="Times New Roman"/>
          <w:color w:val="auto"/>
          <w:spacing w:val="0"/>
          <w:kern w:val="0"/>
          <w:sz w:val="30"/>
          <w:szCs w:val="32"/>
          <w:lang w:val="en-US" w:eastAsia="zh-CN"/>
        </w:rPr>
        <w:t>—</w:t>
      </w:r>
      <w:r>
        <w:rPr>
          <w:rFonts w:hint="default" w:ascii="Times New Roman" w:hAnsi="Times New Roman" w:eastAsia="仿宋_GB2312" w:cs="Times New Roman"/>
          <w:color w:val="auto"/>
          <w:spacing w:val="0"/>
          <w:kern w:val="0"/>
          <w:sz w:val="30"/>
          <w:szCs w:val="32"/>
          <w:lang w:val="en-US" w:eastAsia="zh-CN"/>
        </w:rPr>
        <w:t>84%</w:t>
      </w:r>
      <w:r>
        <w:rPr>
          <w:rFonts w:hint="eastAsia" w:ascii="Times New Roman" w:hAnsi="Times New Roman" w:eastAsia="仿宋_GB2312" w:cs="Times New Roman"/>
          <w:color w:val="auto"/>
          <w:spacing w:val="0"/>
          <w:kern w:val="0"/>
          <w:sz w:val="30"/>
          <w:szCs w:val="32"/>
          <w:lang w:val="en-US" w:eastAsia="zh-CN"/>
        </w:rPr>
        <w:t>（</w:t>
      </w:r>
      <w:r>
        <w:rPr>
          <w:rFonts w:hint="default" w:ascii="Times New Roman" w:hAnsi="Times New Roman" w:eastAsia="仿宋_GB2312" w:cs="Times New Roman"/>
          <w:color w:val="auto"/>
          <w:spacing w:val="0"/>
          <w:kern w:val="0"/>
          <w:sz w:val="30"/>
          <w:szCs w:val="32"/>
          <w:lang w:val="en-US" w:eastAsia="zh-CN"/>
        </w:rPr>
        <w:t>含75</w:t>
      </w:r>
      <w:r>
        <w:rPr>
          <w:rFonts w:hint="eastAsia" w:ascii="Times New Roman" w:hAnsi="Times New Roman" w:eastAsia="仿宋_GB2312" w:cs="Times New Roman"/>
          <w:color w:val="auto"/>
          <w:spacing w:val="0"/>
          <w:kern w:val="0"/>
          <w:sz w:val="30"/>
          <w:szCs w:val="32"/>
          <w:lang w:val="en-US" w:eastAsia="zh-CN"/>
        </w:rPr>
        <w:t>）</w:t>
      </w:r>
      <w:r>
        <w:rPr>
          <w:rFonts w:hint="default" w:ascii="Times New Roman" w:hAnsi="Times New Roman" w:eastAsia="仿宋_GB2312" w:cs="Times New Roman"/>
          <w:color w:val="auto"/>
          <w:spacing w:val="0"/>
          <w:kern w:val="0"/>
          <w:sz w:val="30"/>
          <w:szCs w:val="32"/>
          <w:lang w:val="en-US" w:eastAsia="zh-CN"/>
        </w:rPr>
        <w:t>工程款支付80%，保存率75%以下不支付工程款并解除合同。</w:t>
      </w:r>
    </w:p>
    <w:p w14:paraId="5801395A">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jc w:val="both"/>
        <w:textAlignment w:val="auto"/>
        <w:rPr>
          <w:rFonts w:hint="eastAsia" w:ascii="黑体" w:hAnsi="黑体" w:eastAsia="黑体" w:cs="黑体"/>
          <w:color w:val="auto"/>
          <w:spacing w:val="0"/>
          <w:kern w:val="0"/>
          <w:sz w:val="30"/>
          <w:szCs w:val="32"/>
          <w:lang w:val="en-US" w:eastAsia="zh-CN"/>
        </w:rPr>
      </w:pPr>
      <w:r>
        <w:rPr>
          <w:rFonts w:hint="eastAsia" w:ascii="黑体" w:hAnsi="黑体" w:eastAsia="黑体" w:cs="黑体"/>
          <w:color w:val="auto"/>
          <w:spacing w:val="0"/>
          <w:kern w:val="0"/>
          <w:sz w:val="30"/>
          <w:szCs w:val="32"/>
          <w:lang w:val="en-US" w:eastAsia="zh-CN"/>
        </w:rPr>
        <w:t>二、考核办法</w:t>
      </w:r>
    </w:p>
    <w:p w14:paraId="19792A12">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jc w:val="both"/>
        <w:textAlignment w:val="auto"/>
        <w:rPr>
          <w:rFonts w:hint="default" w:ascii="Times New Roman" w:hAnsi="Times New Roman" w:eastAsia="仿宋_GB2312" w:cs="Times New Roman"/>
          <w:color w:val="auto"/>
          <w:spacing w:val="0"/>
          <w:kern w:val="0"/>
          <w:sz w:val="30"/>
          <w:szCs w:val="32"/>
          <w:lang w:val="en-US" w:eastAsia="zh-CN"/>
        </w:rPr>
      </w:pPr>
      <w:r>
        <w:rPr>
          <w:rFonts w:hint="eastAsia" w:ascii="Times New Roman" w:hAnsi="Times New Roman" w:eastAsia="仿宋_GB2312" w:cs="Times New Roman"/>
          <w:color w:val="auto"/>
          <w:spacing w:val="0"/>
          <w:kern w:val="0"/>
          <w:sz w:val="30"/>
          <w:szCs w:val="32"/>
          <w:lang w:val="en-US" w:eastAsia="zh-CN"/>
        </w:rPr>
        <w:t>（</w:t>
      </w:r>
      <w:r>
        <w:rPr>
          <w:rFonts w:hint="default" w:ascii="Times New Roman" w:hAnsi="Times New Roman" w:eastAsia="仿宋_GB2312" w:cs="Times New Roman"/>
          <w:color w:val="auto"/>
          <w:spacing w:val="0"/>
          <w:kern w:val="0"/>
          <w:sz w:val="30"/>
          <w:szCs w:val="32"/>
          <w:lang w:val="en-US" w:eastAsia="zh-CN"/>
        </w:rPr>
        <w:t>一</w:t>
      </w:r>
      <w:r>
        <w:rPr>
          <w:rFonts w:hint="eastAsia" w:ascii="Times New Roman" w:hAnsi="Times New Roman" w:eastAsia="仿宋_GB2312" w:cs="Times New Roman"/>
          <w:color w:val="auto"/>
          <w:spacing w:val="0"/>
          <w:kern w:val="0"/>
          <w:sz w:val="30"/>
          <w:szCs w:val="32"/>
          <w:lang w:val="en-US" w:eastAsia="zh-CN"/>
        </w:rPr>
        <w:t>）</w:t>
      </w:r>
      <w:r>
        <w:rPr>
          <w:rFonts w:hint="default" w:ascii="Times New Roman" w:hAnsi="Times New Roman" w:eastAsia="仿宋_GB2312" w:cs="Times New Roman"/>
          <w:color w:val="auto"/>
          <w:spacing w:val="0"/>
          <w:kern w:val="0"/>
          <w:sz w:val="30"/>
          <w:szCs w:val="32"/>
          <w:lang w:val="en-US" w:eastAsia="zh-CN"/>
        </w:rPr>
        <w:t>考核单位</w:t>
      </w:r>
      <w:r>
        <w:rPr>
          <w:rFonts w:hint="eastAsia" w:ascii="Times New Roman" w:hAnsi="Times New Roman" w:eastAsia="仿宋_GB2312" w:cs="Times New Roman"/>
          <w:color w:val="auto"/>
          <w:spacing w:val="0"/>
          <w:kern w:val="0"/>
          <w:sz w:val="30"/>
          <w:szCs w:val="32"/>
          <w:lang w:val="en-US" w:eastAsia="zh-CN"/>
        </w:rPr>
        <w:t>：</w:t>
      </w:r>
      <w:r>
        <w:rPr>
          <w:rFonts w:hint="default" w:ascii="Times New Roman" w:hAnsi="Times New Roman" w:eastAsia="仿宋_GB2312" w:cs="Times New Roman"/>
          <w:color w:val="auto"/>
          <w:spacing w:val="0"/>
          <w:kern w:val="0"/>
          <w:sz w:val="30"/>
          <w:szCs w:val="32"/>
          <w:lang w:val="en-US" w:eastAsia="zh-CN"/>
        </w:rPr>
        <w:t>沿用前两轮的做法，由各苏木镇、街道办、国有林场做为管理主体，实行项目法人制、招投标制、监理制。</w:t>
      </w:r>
    </w:p>
    <w:p w14:paraId="4451C49A">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jc w:val="both"/>
        <w:textAlignment w:val="auto"/>
        <w:rPr>
          <w:rFonts w:hint="default" w:ascii="Times New Roman" w:hAnsi="Times New Roman" w:eastAsia="仿宋_GB2312" w:cs="Times New Roman"/>
          <w:color w:val="auto"/>
          <w:spacing w:val="0"/>
          <w:kern w:val="0"/>
          <w:sz w:val="30"/>
          <w:szCs w:val="32"/>
          <w:lang w:val="en-US" w:eastAsia="zh-CN"/>
        </w:rPr>
      </w:pPr>
      <w:r>
        <w:rPr>
          <w:rFonts w:hint="eastAsia" w:ascii="Times New Roman" w:hAnsi="Times New Roman" w:eastAsia="仿宋_GB2312" w:cs="Times New Roman"/>
          <w:color w:val="auto"/>
          <w:spacing w:val="0"/>
          <w:kern w:val="0"/>
          <w:sz w:val="30"/>
          <w:szCs w:val="32"/>
          <w:lang w:val="en-US" w:eastAsia="zh-CN"/>
        </w:rPr>
        <w:t>（</w:t>
      </w:r>
      <w:r>
        <w:rPr>
          <w:rFonts w:hint="default" w:ascii="Times New Roman" w:hAnsi="Times New Roman" w:eastAsia="仿宋_GB2312" w:cs="Times New Roman"/>
          <w:color w:val="auto"/>
          <w:spacing w:val="0"/>
          <w:kern w:val="0"/>
          <w:sz w:val="30"/>
          <w:szCs w:val="32"/>
          <w:lang w:val="en-US" w:eastAsia="zh-CN"/>
        </w:rPr>
        <w:t>二</w:t>
      </w:r>
      <w:r>
        <w:rPr>
          <w:rFonts w:hint="eastAsia" w:ascii="Times New Roman" w:hAnsi="Times New Roman" w:eastAsia="仿宋_GB2312" w:cs="Times New Roman"/>
          <w:color w:val="auto"/>
          <w:spacing w:val="0"/>
          <w:kern w:val="0"/>
          <w:sz w:val="30"/>
          <w:szCs w:val="32"/>
          <w:lang w:val="en-US" w:eastAsia="zh-CN"/>
        </w:rPr>
        <w:t>）</w:t>
      </w:r>
      <w:r>
        <w:rPr>
          <w:rFonts w:hint="default" w:ascii="Times New Roman" w:hAnsi="Times New Roman" w:eastAsia="仿宋_GB2312" w:cs="Times New Roman"/>
          <w:color w:val="auto"/>
          <w:spacing w:val="0"/>
          <w:kern w:val="0"/>
          <w:sz w:val="30"/>
          <w:szCs w:val="32"/>
          <w:lang w:val="en-US" w:eastAsia="zh-CN"/>
        </w:rPr>
        <w:t>考核时间</w:t>
      </w:r>
      <w:r>
        <w:rPr>
          <w:rFonts w:hint="eastAsia" w:ascii="Times New Roman" w:hAnsi="Times New Roman" w:eastAsia="仿宋_GB2312" w:cs="Times New Roman"/>
          <w:color w:val="auto"/>
          <w:spacing w:val="0"/>
          <w:kern w:val="0"/>
          <w:sz w:val="30"/>
          <w:szCs w:val="32"/>
          <w:lang w:val="en-US" w:eastAsia="zh-CN"/>
        </w:rPr>
        <w:t>：</w:t>
      </w:r>
      <w:r>
        <w:rPr>
          <w:rFonts w:hint="default" w:ascii="Times New Roman" w:hAnsi="Times New Roman" w:eastAsia="仿宋_GB2312" w:cs="Times New Roman"/>
          <w:color w:val="auto"/>
          <w:spacing w:val="0"/>
          <w:kern w:val="0"/>
          <w:sz w:val="30"/>
          <w:szCs w:val="32"/>
          <w:lang w:val="en-US" w:eastAsia="zh-CN"/>
        </w:rPr>
        <w:t>分为半年考核、年度考核、日常考核，负责树木养护的主体单位应对考核单位的考核予以全力配合。</w:t>
      </w:r>
    </w:p>
    <w:p w14:paraId="7C943DB0">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jc w:val="both"/>
        <w:textAlignment w:val="auto"/>
        <w:rPr>
          <w:rFonts w:hint="default" w:ascii="Times New Roman" w:hAnsi="Times New Roman" w:eastAsia="仿宋_GB2312" w:cs="Times New Roman"/>
          <w:color w:val="auto"/>
          <w:spacing w:val="0"/>
          <w:kern w:val="0"/>
          <w:sz w:val="30"/>
          <w:szCs w:val="32"/>
          <w:lang w:val="en-US" w:eastAsia="zh-CN"/>
        </w:rPr>
      </w:pPr>
      <w:r>
        <w:rPr>
          <w:rFonts w:hint="default" w:ascii="Times New Roman" w:hAnsi="Times New Roman" w:eastAsia="仿宋_GB2312" w:cs="Times New Roman"/>
          <w:color w:val="auto"/>
          <w:spacing w:val="0"/>
          <w:kern w:val="0"/>
          <w:sz w:val="30"/>
          <w:szCs w:val="32"/>
          <w:lang w:val="en-US" w:eastAsia="zh-CN"/>
        </w:rPr>
        <w:t>半年考核</w:t>
      </w:r>
      <w:r>
        <w:rPr>
          <w:rFonts w:hint="eastAsia" w:ascii="Times New Roman" w:hAnsi="Times New Roman" w:eastAsia="仿宋_GB2312" w:cs="Times New Roman"/>
          <w:color w:val="auto"/>
          <w:spacing w:val="0"/>
          <w:kern w:val="0"/>
          <w:sz w:val="30"/>
          <w:szCs w:val="32"/>
          <w:lang w:val="en-US" w:eastAsia="zh-CN"/>
        </w:rPr>
        <w:t>：</w:t>
      </w:r>
      <w:r>
        <w:rPr>
          <w:rFonts w:hint="default" w:ascii="Times New Roman" w:hAnsi="Times New Roman" w:eastAsia="仿宋_GB2312" w:cs="Times New Roman"/>
          <w:color w:val="auto"/>
          <w:spacing w:val="0"/>
          <w:kern w:val="0"/>
          <w:sz w:val="30"/>
          <w:szCs w:val="32"/>
          <w:lang w:val="en-US" w:eastAsia="zh-CN"/>
        </w:rPr>
        <w:t>一个运营年中，进行一次半年考核，半年考核时间为6月底7月初</w:t>
      </w:r>
      <w:r>
        <w:rPr>
          <w:rFonts w:hint="eastAsia" w:ascii="Times New Roman" w:hAnsi="Times New Roman" w:eastAsia="仿宋_GB2312" w:cs="Times New Roman"/>
          <w:color w:val="auto"/>
          <w:spacing w:val="0"/>
          <w:kern w:val="0"/>
          <w:sz w:val="30"/>
          <w:szCs w:val="32"/>
          <w:lang w:val="en-US" w:eastAsia="zh-CN"/>
        </w:rPr>
        <w:t>；</w:t>
      </w:r>
    </w:p>
    <w:p w14:paraId="6B79A1A4">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jc w:val="both"/>
        <w:textAlignment w:val="auto"/>
        <w:rPr>
          <w:rFonts w:hint="default" w:ascii="Times New Roman" w:hAnsi="Times New Roman" w:eastAsia="仿宋_GB2312" w:cs="Times New Roman"/>
          <w:color w:val="auto"/>
          <w:spacing w:val="0"/>
          <w:kern w:val="0"/>
          <w:sz w:val="30"/>
          <w:szCs w:val="32"/>
          <w:lang w:val="en-US" w:eastAsia="zh-CN"/>
        </w:rPr>
      </w:pPr>
      <w:r>
        <w:rPr>
          <w:rFonts w:hint="default" w:ascii="Times New Roman" w:hAnsi="Times New Roman" w:eastAsia="仿宋_GB2312" w:cs="Times New Roman"/>
          <w:color w:val="auto"/>
          <w:spacing w:val="0"/>
          <w:kern w:val="0"/>
          <w:sz w:val="30"/>
          <w:szCs w:val="32"/>
          <w:lang w:val="en-US" w:eastAsia="zh-CN"/>
        </w:rPr>
        <w:t>年度考核</w:t>
      </w:r>
      <w:r>
        <w:rPr>
          <w:rFonts w:hint="eastAsia" w:ascii="Times New Roman" w:hAnsi="Times New Roman" w:eastAsia="仿宋_GB2312" w:cs="Times New Roman"/>
          <w:color w:val="auto"/>
          <w:spacing w:val="0"/>
          <w:kern w:val="0"/>
          <w:sz w:val="30"/>
          <w:szCs w:val="32"/>
          <w:lang w:val="en-US" w:eastAsia="zh-CN"/>
        </w:rPr>
        <w:t>：</w:t>
      </w:r>
      <w:r>
        <w:rPr>
          <w:rFonts w:hint="default" w:ascii="Times New Roman" w:hAnsi="Times New Roman" w:eastAsia="仿宋_GB2312" w:cs="Times New Roman"/>
          <w:color w:val="auto"/>
          <w:spacing w:val="0"/>
          <w:kern w:val="0"/>
          <w:sz w:val="30"/>
          <w:szCs w:val="32"/>
          <w:lang w:val="en-US" w:eastAsia="zh-CN"/>
        </w:rPr>
        <w:t>一个运营年结束之后，对项目单位进行一次年终考核</w:t>
      </w:r>
      <w:r>
        <w:rPr>
          <w:rFonts w:hint="eastAsia" w:ascii="Times New Roman" w:hAnsi="Times New Roman" w:eastAsia="仿宋_GB2312" w:cs="Times New Roman"/>
          <w:color w:val="auto"/>
          <w:spacing w:val="0"/>
          <w:kern w:val="0"/>
          <w:sz w:val="30"/>
          <w:szCs w:val="32"/>
          <w:lang w:val="en-US" w:eastAsia="zh-CN"/>
        </w:rPr>
        <w:t>；</w:t>
      </w:r>
    </w:p>
    <w:p w14:paraId="207DE40E">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jc w:val="both"/>
        <w:textAlignment w:val="auto"/>
        <w:rPr>
          <w:rFonts w:hint="default" w:ascii="Times New Roman" w:hAnsi="Times New Roman" w:eastAsia="仿宋_GB2312" w:cs="Times New Roman"/>
          <w:color w:val="auto"/>
          <w:spacing w:val="0"/>
          <w:kern w:val="0"/>
          <w:sz w:val="30"/>
          <w:szCs w:val="32"/>
          <w:lang w:val="en-US" w:eastAsia="zh-CN"/>
        </w:rPr>
      </w:pPr>
      <w:r>
        <w:rPr>
          <w:rFonts w:hint="default" w:ascii="Times New Roman" w:hAnsi="Times New Roman" w:eastAsia="仿宋_GB2312" w:cs="Times New Roman"/>
          <w:color w:val="auto"/>
          <w:spacing w:val="0"/>
          <w:kern w:val="0"/>
          <w:sz w:val="30"/>
          <w:szCs w:val="32"/>
          <w:lang w:val="en-US" w:eastAsia="zh-CN"/>
        </w:rPr>
        <w:t>日常考核</w:t>
      </w:r>
      <w:r>
        <w:rPr>
          <w:rFonts w:hint="eastAsia" w:ascii="Times New Roman" w:hAnsi="Times New Roman" w:eastAsia="仿宋_GB2312" w:cs="Times New Roman"/>
          <w:color w:val="auto"/>
          <w:spacing w:val="0"/>
          <w:kern w:val="0"/>
          <w:sz w:val="30"/>
          <w:szCs w:val="32"/>
          <w:lang w:val="en-US" w:eastAsia="zh-CN"/>
        </w:rPr>
        <w:t>：</w:t>
      </w:r>
      <w:r>
        <w:rPr>
          <w:rFonts w:hint="default" w:ascii="Times New Roman" w:hAnsi="Times New Roman" w:eastAsia="仿宋_GB2312" w:cs="Times New Roman"/>
          <w:color w:val="auto"/>
          <w:spacing w:val="0"/>
          <w:kern w:val="0"/>
          <w:sz w:val="30"/>
          <w:szCs w:val="32"/>
          <w:lang w:val="en-US" w:eastAsia="zh-CN"/>
        </w:rPr>
        <w:t>考核时间由考核单位自行选定，且一个运营年内日常考核不少于4次。</w:t>
      </w:r>
    </w:p>
    <w:p w14:paraId="5B38CA9E">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jc w:val="both"/>
        <w:textAlignment w:val="auto"/>
        <w:rPr>
          <w:rFonts w:hint="default" w:ascii="Times New Roman" w:hAnsi="Times New Roman" w:eastAsia="仿宋_GB2312" w:cs="Times New Roman"/>
          <w:color w:val="auto"/>
          <w:spacing w:val="0"/>
          <w:kern w:val="0"/>
          <w:sz w:val="30"/>
          <w:szCs w:val="32"/>
          <w:lang w:val="en-US" w:eastAsia="zh-CN"/>
        </w:rPr>
      </w:pPr>
      <w:r>
        <w:rPr>
          <w:rFonts w:hint="eastAsia" w:ascii="Times New Roman" w:hAnsi="Times New Roman" w:eastAsia="仿宋_GB2312" w:cs="Times New Roman"/>
          <w:color w:val="auto"/>
          <w:spacing w:val="0"/>
          <w:kern w:val="0"/>
          <w:sz w:val="30"/>
          <w:szCs w:val="32"/>
          <w:lang w:val="en-US" w:eastAsia="zh-CN"/>
        </w:rPr>
        <w:t>（</w:t>
      </w:r>
      <w:r>
        <w:rPr>
          <w:rFonts w:hint="default" w:ascii="Times New Roman" w:hAnsi="Times New Roman" w:eastAsia="仿宋_GB2312" w:cs="Times New Roman"/>
          <w:color w:val="auto"/>
          <w:spacing w:val="0"/>
          <w:kern w:val="0"/>
          <w:sz w:val="30"/>
          <w:szCs w:val="32"/>
          <w:lang w:val="en-US" w:eastAsia="zh-CN"/>
        </w:rPr>
        <w:t>三</w:t>
      </w:r>
      <w:r>
        <w:rPr>
          <w:rFonts w:hint="eastAsia" w:ascii="Times New Roman" w:hAnsi="Times New Roman" w:eastAsia="仿宋_GB2312" w:cs="Times New Roman"/>
          <w:color w:val="auto"/>
          <w:spacing w:val="0"/>
          <w:kern w:val="0"/>
          <w:sz w:val="30"/>
          <w:szCs w:val="32"/>
          <w:lang w:val="en-US" w:eastAsia="zh-CN"/>
        </w:rPr>
        <w:t>）</w:t>
      </w:r>
      <w:r>
        <w:rPr>
          <w:rFonts w:hint="default" w:ascii="Times New Roman" w:hAnsi="Times New Roman" w:eastAsia="仿宋_GB2312" w:cs="Times New Roman"/>
          <w:color w:val="auto"/>
          <w:spacing w:val="0"/>
          <w:kern w:val="0"/>
          <w:sz w:val="30"/>
          <w:szCs w:val="32"/>
          <w:lang w:val="en-US" w:eastAsia="zh-CN"/>
        </w:rPr>
        <w:t>考核区域</w:t>
      </w:r>
      <w:r>
        <w:rPr>
          <w:rFonts w:hint="eastAsia" w:ascii="Times New Roman" w:hAnsi="Times New Roman" w:eastAsia="仿宋_GB2312" w:cs="Times New Roman"/>
          <w:color w:val="auto"/>
          <w:spacing w:val="0"/>
          <w:kern w:val="0"/>
          <w:sz w:val="30"/>
          <w:szCs w:val="32"/>
          <w:lang w:val="en-US" w:eastAsia="zh-CN"/>
        </w:rPr>
        <w:t>：</w:t>
      </w:r>
      <w:r>
        <w:rPr>
          <w:rFonts w:hint="default" w:ascii="Times New Roman" w:hAnsi="Times New Roman" w:eastAsia="仿宋_GB2312" w:cs="Times New Roman"/>
          <w:color w:val="auto"/>
          <w:spacing w:val="0"/>
          <w:kern w:val="0"/>
          <w:sz w:val="30"/>
          <w:szCs w:val="32"/>
          <w:lang w:val="en-US" w:eastAsia="zh-CN"/>
        </w:rPr>
        <w:t>半年考核和年度考核区域覆盖国土绿化及农村牧区通道绿化和村屯绿化全部运营维护设施和内容，并于资金拨付挂钩。日常考核区域由考核单位自行选定。</w:t>
      </w:r>
    </w:p>
    <w:p w14:paraId="58BC0FA5">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jc w:val="both"/>
        <w:textAlignment w:val="auto"/>
        <w:rPr>
          <w:rFonts w:hint="default" w:ascii="Times New Roman" w:hAnsi="Times New Roman" w:eastAsia="仿宋_GB2312" w:cs="Times New Roman"/>
          <w:color w:val="auto"/>
          <w:spacing w:val="0"/>
          <w:kern w:val="0"/>
          <w:sz w:val="30"/>
          <w:szCs w:val="32"/>
          <w:lang w:val="en-US" w:eastAsia="zh-CN"/>
        </w:rPr>
      </w:pPr>
      <w:r>
        <w:rPr>
          <w:rFonts w:hint="eastAsia" w:ascii="Times New Roman" w:hAnsi="Times New Roman" w:eastAsia="仿宋_GB2312" w:cs="Times New Roman"/>
          <w:color w:val="auto"/>
          <w:spacing w:val="0"/>
          <w:kern w:val="0"/>
          <w:sz w:val="30"/>
          <w:szCs w:val="32"/>
          <w:lang w:val="en-US" w:eastAsia="zh-CN"/>
        </w:rPr>
        <w:t>（</w:t>
      </w:r>
      <w:r>
        <w:rPr>
          <w:rFonts w:hint="default" w:ascii="Times New Roman" w:hAnsi="Times New Roman" w:eastAsia="仿宋_GB2312" w:cs="Times New Roman"/>
          <w:color w:val="auto"/>
          <w:spacing w:val="0"/>
          <w:kern w:val="0"/>
          <w:sz w:val="30"/>
          <w:szCs w:val="32"/>
          <w:lang w:val="en-US" w:eastAsia="zh-CN"/>
        </w:rPr>
        <w:t>四</w:t>
      </w:r>
      <w:r>
        <w:rPr>
          <w:rFonts w:hint="eastAsia" w:ascii="Times New Roman" w:hAnsi="Times New Roman" w:eastAsia="仿宋_GB2312" w:cs="Times New Roman"/>
          <w:color w:val="auto"/>
          <w:spacing w:val="0"/>
          <w:kern w:val="0"/>
          <w:sz w:val="30"/>
          <w:szCs w:val="32"/>
          <w:lang w:val="en-US" w:eastAsia="zh-CN"/>
        </w:rPr>
        <w:t>）</w:t>
      </w:r>
      <w:r>
        <w:rPr>
          <w:rFonts w:hint="default" w:ascii="Times New Roman" w:hAnsi="Times New Roman" w:eastAsia="仿宋_GB2312" w:cs="Times New Roman"/>
          <w:color w:val="auto"/>
          <w:spacing w:val="0"/>
          <w:kern w:val="0"/>
          <w:sz w:val="30"/>
          <w:szCs w:val="32"/>
          <w:lang w:val="en-US" w:eastAsia="zh-CN"/>
        </w:rPr>
        <w:t>考核内容</w:t>
      </w:r>
      <w:r>
        <w:rPr>
          <w:rFonts w:hint="eastAsia" w:ascii="Times New Roman" w:hAnsi="Times New Roman" w:eastAsia="仿宋_GB2312" w:cs="Times New Roman"/>
          <w:color w:val="auto"/>
          <w:spacing w:val="0"/>
          <w:kern w:val="0"/>
          <w:sz w:val="30"/>
          <w:szCs w:val="32"/>
          <w:lang w:val="en-US" w:eastAsia="zh-CN"/>
        </w:rPr>
        <w:t>：</w:t>
      </w:r>
      <w:r>
        <w:rPr>
          <w:rFonts w:hint="default" w:ascii="Times New Roman" w:hAnsi="Times New Roman" w:eastAsia="仿宋_GB2312" w:cs="Times New Roman"/>
          <w:color w:val="auto"/>
          <w:spacing w:val="0"/>
          <w:kern w:val="0"/>
          <w:sz w:val="30"/>
          <w:szCs w:val="32"/>
          <w:lang w:val="en-US" w:eastAsia="zh-CN"/>
        </w:rPr>
        <w:t>考核内容分为2个方面，分别为运营管理体系、绿化养护。</w:t>
      </w:r>
    </w:p>
    <w:p w14:paraId="334766A7">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jc w:val="both"/>
        <w:textAlignment w:val="auto"/>
        <w:rPr>
          <w:rFonts w:hint="default" w:ascii="Times New Roman" w:hAnsi="Times New Roman" w:eastAsia="仿宋_GB2312" w:cs="Times New Roman"/>
          <w:color w:val="auto"/>
          <w:spacing w:val="0"/>
          <w:kern w:val="0"/>
          <w:sz w:val="30"/>
          <w:szCs w:val="32"/>
          <w:lang w:val="en-US" w:eastAsia="zh-CN"/>
        </w:rPr>
      </w:pPr>
      <w:r>
        <w:rPr>
          <w:rFonts w:hint="default" w:ascii="Times New Roman" w:hAnsi="Times New Roman" w:eastAsia="仿宋_GB2312" w:cs="Times New Roman"/>
          <w:color w:val="auto"/>
          <w:spacing w:val="0"/>
          <w:kern w:val="0"/>
          <w:sz w:val="30"/>
          <w:szCs w:val="32"/>
          <w:lang w:val="en-US" w:eastAsia="zh-CN"/>
        </w:rPr>
        <w:t>（五）区林草局负责对苏木镇、街道、九原区国有林场的业务指导、内页检查、成效检测、总体评估。</w:t>
      </w:r>
    </w:p>
    <w:p w14:paraId="32B5A1BA">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color w:val="auto"/>
          <w:spacing w:val="0"/>
          <w:kern w:val="0"/>
          <w:sz w:val="30"/>
          <w:szCs w:val="32"/>
          <w:lang w:val="en-US" w:eastAsia="zh-CN"/>
        </w:rPr>
      </w:pPr>
    </w:p>
    <w:p w14:paraId="1283F434">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color w:val="auto"/>
          <w:spacing w:val="0"/>
          <w:kern w:val="0"/>
          <w:sz w:val="30"/>
          <w:szCs w:val="32"/>
          <w:lang w:val="en-US" w:eastAsia="zh-CN"/>
        </w:rPr>
      </w:pPr>
    </w:p>
    <w:p w14:paraId="41321210">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color w:val="auto"/>
          <w:spacing w:val="0"/>
          <w:kern w:val="0"/>
          <w:sz w:val="30"/>
          <w:szCs w:val="32"/>
          <w:lang w:val="en-US" w:eastAsia="zh-CN"/>
        </w:rPr>
      </w:pPr>
    </w:p>
    <w:p w14:paraId="134A3B31">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color w:val="auto"/>
          <w:spacing w:val="0"/>
          <w:kern w:val="0"/>
          <w:sz w:val="30"/>
          <w:szCs w:val="32"/>
          <w:lang w:val="en-US" w:eastAsia="zh-CN"/>
        </w:rPr>
      </w:pPr>
    </w:p>
    <w:p w14:paraId="22BA2E55">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color w:val="auto"/>
          <w:spacing w:val="0"/>
          <w:kern w:val="0"/>
          <w:sz w:val="30"/>
          <w:szCs w:val="32"/>
          <w:lang w:val="en-US" w:eastAsia="zh-CN"/>
        </w:rPr>
      </w:pPr>
    </w:p>
    <w:p w14:paraId="5F376659">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color w:val="auto"/>
          <w:spacing w:val="0"/>
          <w:kern w:val="0"/>
          <w:sz w:val="30"/>
          <w:szCs w:val="32"/>
          <w:lang w:val="en-US" w:eastAsia="zh-CN"/>
        </w:rPr>
      </w:pPr>
    </w:p>
    <w:p w14:paraId="6F07C8EF">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color w:val="auto"/>
          <w:spacing w:val="0"/>
          <w:kern w:val="0"/>
          <w:sz w:val="30"/>
          <w:szCs w:val="32"/>
          <w:lang w:val="en-US" w:eastAsia="zh-CN"/>
        </w:rPr>
      </w:pPr>
    </w:p>
    <w:p w14:paraId="710F390E">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color w:val="auto"/>
          <w:spacing w:val="0"/>
          <w:kern w:val="0"/>
          <w:sz w:val="30"/>
          <w:szCs w:val="32"/>
          <w:lang w:val="en-US" w:eastAsia="zh-CN"/>
        </w:rPr>
      </w:pPr>
    </w:p>
    <w:p w14:paraId="28A05C47">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color w:val="auto"/>
          <w:spacing w:val="0"/>
          <w:kern w:val="0"/>
          <w:sz w:val="30"/>
          <w:szCs w:val="32"/>
          <w:lang w:val="en-US" w:eastAsia="zh-CN"/>
        </w:rPr>
        <w:sectPr>
          <w:headerReference r:id="rId3" w:type="default"/>
          <w:footerReference r:id="rId4" w:type="default"/>
          <w:pgSz w:w="11906" w:h="16838"/>
          <w:pgMar w:top="1701" w:right="1531" w:bottom="1701" w:left="1531" w:header="851" w:footer="992" w:gutter="0"/>
          <w:pgNumType w:fmt="decimal"/>
          <w:cols w:space="425" w:num="1"/>
          <w:docGrid w:type="lines" w:linePitch="312" w:charSpace="0"/>
        </w:sectPr>
      </w:pPr>
    </w:p>
    <w:p w14:paraId="2B52F151">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eastAsia" w:ascii="黑体" w:hAnsi="黑体" w:eastAsia="黑体" w:cs="黑体"/>
          <w:color w:val="auto"/>
          <w:spacing w:val="0"/>
          <w:kern w:val="0"/>
          <w:sz w:val="30"/>
          <w:szCs w:val="32"/>
          <w:lang w:val="en-US" w:eastAsia="zh-CN"/>
        </w:rPr>
      </w:pPr>
      <w:r>
        <w:rPr>
          <w:rFonts w:hint="eastAsia" w:ascii="黑体" w:hAnsi="黑体" w:eastAsia="黑体" w:cs="黑体"/>
          <w:color w:val="auto"/>
          <w:spacing w:val="0"/>
          <w:kern w:val="0"/>
          <w:sz w:val="30"/>
          <w:szCs w:val="32"/>
          <w:lang w:val="en-US" w:eastAsia="zh-CN"/>
        </w:rPr>
        <w:t>附件2</w:t>
      </w:r>
    </w:p>
    <w:tbl>
      <w:tblP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652"/>
        <w:gridCol w:w="1204"/>
        <w:gridCol w:w="1200"/>
        <w:gridCol w:w="1091"/>
        <w:gridCol w:w="1036"/>
        <w:gridCol w:w="1200"/>
        <w:gridCol w:w="1105"/>
        <w:gridCol w:w="995"/>
        <w:gridCol w:w="873"/>
        <w:gridCol w:w="1350"/>
        <w:gridCol w:w="1363"/>
        <w:gridCol w:w="1023"/>
        <w:gridCol w:w="1037"/>
        <w:gridCol w:w="1485"/>
      </w:tblGrid>
      <w:tr w14:paraId="5164E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02" w:hRule="atLeast"/>
        </w:trPr>
        <w:tc>
          <w:tcPr>
            <w:tcW w:w="5000" w:type="pct"/>
            <w:gridSpan w:val="14"/>
            <w:tcBorders>
              <w:top w:val="nil"/>
              <w:left w:val="nil"/>
              <w:bottom w:val="nil"/>
              <w:right w:val="nil"/>
            </w:tcBorders>
            <w:shd w:val="clear"/>
            <w:noWrap/>
            <w:vAlign w:val="center"/>
          </w:tcPr>
          <w:p w14:paraId="404CE251">
            <w:pPr>
              <w:keepNext w:val="0"/>
              <w:keepLines w:val="0"/>
              <w:widowControl/>
              <w:suppressLineNumbers w:val="0"/>
              <w:jc w:val="center"/>
              <w:textAlignment w:val="center"/>
              <w:rPr>
                <w:rFonts w:ascii="等线" w:hAnsi="等线" w:eastAsia="等线" w:cs="等线"/>
                <w:i w:val="0"/>
                <w:iCs w:val="0"/>
                <w:color w:val="000000"/>
                <w:sz w:val="36"/>
                <w:szCs w:val="36"/>
                <w:u w:val="none"/>
              </w:rPr>
            </w:pPr>
            <w:r>
              <w:rPr>
                <w:rFonts w:hint="eastAsia" w:ascii="方正小标宋_GBK" w:hAnsi="方正小标宋_GBK" w:eastAsia="方正小标宋_GBK" w:cs="方正小标宋_GBK"/>
                <w:i w:val="0"/>
                <w:iCs w:val="0"/>
                <w:color w:val="000000"/>
                <w:kern w:val="0"/>
                <w:sz w:val="44"/>
                <w:szCs w:val="44"/>
                <w:u w:val="none"/>
                <w:bdr w:val="none" w:color="auto" w:sz="0" w:space="0"/>
                <w:lang w:val="en-US" w:eastAsia="zh-CN" w:bidi="ar"/>
              </w:rPr>
              <w:t>九原区国土绿化暨农村牧区通道绿化、村屯绿化树木养护资金测算一览表</w:t>
            </w:r>
          </w:p>
        </w:tc>
      </w:tr>
      <w:tr w14:paraId="5304E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208"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3038F698">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序号</w:t>
            </w:r>
          </w:p>
        </w:tc>
        <w:tc>
          <w:tcPr>
            <w:tcW w:w="385"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1EB8443D">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乡镇</w:t>
            </w:r>
          </w:p>
        </w:tc>
        <w:tc>
          <w:tcPr>
            <w:tcW w:w="384"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0675D189">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小计（元）</w:t>
            </w:r>
          </w:p>
        </w:tc>
        <w:tc>
          <w:tcPr>
            <w:tcW w:w="3545" w:type="pct"/>
            <w:gridSpan w:val="10"/>
            <w:tcBorders>
              <w:top w:val="single" w:color="000000" w:sz="4" w:space="0"/>
              <w:left w:val="single" w:color="000000" w:sz="4" w:space="0"/>
              <w:bottom w:val="single" w:color="000000" w:sz="4" w:space="0"/>
              <w:right w:val="single" w:color="000000" w:sz="4" w:space="0"/>
            </w:tcBorders>
            <w:shd w:val="clear"/>
            <w:noWrap/>
            <w:vAlign w:val="center"/>
          </w:tcPr>
          <w:p w14:paraId="48D4D2E5">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养护株树和价格</w:t>
            </w:r>
          </w:p>
        </w:tc>
        <w:tc>
          <w:tcPr>
            <w:tcW w:w="475"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7595E796">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备注</w:t>
            </w:r>
          </w:p>
        </w:tc>
      </w:tr>
      <w:tr w14:paraId="76C7A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0" w:hRule="atLeast"/>
        </w:trPr>
        <w:tc>
          <w:tcPr>
            <w:tcW w:w="208"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06FF9417">
            <w:pPr>
              <w:jc w:val="center"/>
              <w:rPr>
                <w:rFonts w:hint="eastAsia" w:ascii="等线" w:hAnsi="等线" w:eastAsia="等线" w:cs="等线"/>
                <w:i w:val="0"/>
                <w:iCs w:val="0"/>
                <w:color w:val="000000"/>
                <w:sz w:val="18"/>
                <w:szCs w:val="18"/>
                <w:u w:val="none"/>
              </w:rPr>
            </w:pPr>
          </w:p>
        </w:tc>
        <w:tc>
          <w:tcPr>
            <w:tcW w:w="38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6BDAE4F0">
            <w:pPr>
              <w:jc w:val="center"/>
              <w:rPr>
                <w:rFonts w:hint="eastAsia" w:ascii="等线" w:hAnsi="等线" w:eastAsia="等线" w:cs="等线"/>
                <w:i w:val="0"/>
                <w:iCs w:val="0"/>
                <w:color w:val="000000"/>
                <w:sz w:val="18"/>
                <w:szCs w:val="18"/>
                <w:u w:val="none"/>
              </w:rPr>
            </w:pPr>
          </w:p>
        </w:tc>
        <w:tc>
          <w:tcPr>
            <w:tcW w:w="384"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0FC3FA7A">
            <w:pPr>
              <w:jc w:val="center"/>
              <w:rPr>
                <w:rFonts w:hint="eastAsia" w:ascii="等线" w:hAnsi="等线" w:eastAsia="等线" w:cs="等线"/>
                <w:i w:val="0"/>
                <w:iCs w:val="0"/>
                <w:color w:val="000000"/>
                <w:sz w:val="18"/>
                <w:szCs w:val="18"/>
                <w:u w:val="none"/>
              </w:rPr>
            </w:pPr>
          </w:p>
        </w:tc>
        <w:tc>
          <w:tcPr>
            <w:tcW w:w="349" w:type="pct"/>
            <w:tcBorders>
              <w:top w:val="nil"/>
              <w:left w:val="single" w:color="000000" w:sz="4" w:space="0"/>
              <w:bottom w:val="single" w:color="000000" w:sz="4" w:space="0"/>
              <w:right w:val="single" w:color="000000" w:sz="4" w:space="0"/>
            </w:tcBorders>
            <w:shd w:val="clear"/>
            <w:vAlign w:val="center"/>
          </w:tcPr>
          <w:p w14:paraId="60172FE6">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通道养护数量             （株、丛）</w:t>
            </w:r>
          </w:p>
        </w:tc>
        <w:tc>
          <w:tcPr>
            <w:tcW w:w="331" w:type="pct"/>
            <w:tcBorders>
              <w:top w:val="nil"/>
              <w:left w:val="single" w:color="000000" w:sz="4" w:space="0"/>
              <w:bottom w:val="single" w:color="000000" w:sz="4" w:space="0"/>
              <w:right w:val="single" w:color="000000" w:sz="4" w:space="0"/>
            </w:tcBorders>
            <w:shd w:val="clear"/>
            <w:vAlign w:val="center"/>
          </w:tcPr>
          <w:p w14:paraId="54B698B4">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村屯养护数量          （株、丛）</w:t>
            </w:r>
          </w:p>
        </w:tc>
        <w:tc>
          <w:tcPr>
            <w:tcW w:w="384" w:type="pct"/>
            <w:tcBorders>
              <w:top w:val="nil"/>
              <w:left w:val="single" w:color="000000" w:sz="4" w:space="0"/>
              <w:bottom w:val="single" w:color="000000" w:sz="4" w:space="0"/>
              <w:right w:val="single" w:color="000000" w:sz="4" w:space="0"/>
            </w:tcBorders>
            <w:shd w:val="clear"/>
            <w:vAlign w:val="center"/>
          </w:tcPr>
          <w:p w14:paraId="64E08793">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国土绿化退化林修复养护数量（株、丛）</w:t>
            </w:r>
          </w:p>
        </w:tc>
        <w:tc>
          <w:tcPr>
            <w:tcW w:w="353" w:type="pct"/>
            <w:tcBorders>
              <w:top w:val="nil"/>
              <w:left w:val="single" w:color="000000" w:sz="4" w:space="0"/>
              <w:bottom w:val="single" w:color="000000" w:sz="4" w:space="0"/>
              <w:right w:val="single" w:color="000000" w:sz="4" w:space="0"/>
            </w:tcBorders>
            <w:shd w:val="clear"/>
            <w:vAlign w:val="center"/>
          </w:tcPr>
          <w:p w14:paraId="23A8ACA4">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国土绿化人工造林养护数量</w:t>
            </w:r>
            <w:r>
              <w:rPr>
                <w:rFonts w:hint="eastAsia" w:ascii="等线" w:hAnsi="等线" w:eastAsia="等线" w:cs="等线"/>
                <w:i w:val="0"/>
                <w:iCs w:val="0"/>
                <w:color w:val="000000"/>
                <w:kern w:val="0"/>
                <w:sz w:val="18"/>
                <w:szCs w:val="18"/>
                <w:u w:val="none"/>
                <w:bdr w:val="none" w:color="auto" w:sz="0" w:space="0"/>
                <w:lang w:val="en-US" w:eastAsia="zh-CN" w:bidi="ar"/>
              </w:rPr>
              <w:br w:type="textWrapping"/>
            </w:r>
            <w:r>
              <w:rPr>
                <w:rFonts w:hint="eastAsia" w:ascii="等线" w:hAnsi="等线" w:eastAsia="等线" w:cs="等线"/>
                <w:i w:val="0"/>
                <w:iCs w:val="0"/>
                <w:color w:val="000000"/>
                <w:kern w:val="0"/>
                <w:sz w:val="18"/>
                <w:szCs w:val="18"/>
                <w:u w:val="none"/>
                <w:bdr w:val="none" w:color="auto" w:sz="0" w:space="0"/>
                <w:lang w:val="en-US" w:eastAsia="zh-CN" w:bidi="ar"/>
              </w:rPr>
              <w:t>（株、丛）</w:t>
            </w:r>
          </w:p>
        </w:tc>
        <w:tc>
          <w:tcPr>
            <w:tcW w:w="318" w:type="pct"/>
            <w:tcBorders>
              <w:top w:val="nil"/>
              <w:left w:val="single" w:color="000000" w:sz="4" w:space="0"/>
              <w:bottom w:val="single" w:color="000000" w:sz="4" w:space="0"/>
              <w:right w:val="single" w:color="000000" w:sz="4" w:space="0"/>
            </w:tcBorders>
            <w:shd w:val="clear"/>
            <w:vAlign w:val="center"/>
          </w:tcPr>
          <w:p w14:paraId="04476AB5">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绿篱养护数量（平方米）</w:t>
            </w:r>
          </w:p>
        </w:tc>
        <w:tc>
          <w:tcPr>
            <w:tcW w:w="279" w:type="pct"/>
            <w:tcBorders>
              <w:top w:val="nil"/>
              <w:left w:val="single" w:color="000000" w:sz="4" w:space="0"/>
              <w:bottom w:val="single" w:color="000000" w:sz="4" w:space="0"/>
              <w:right w:val="single" w:color="000000" w:sz="4" w:space="0"/>
            </w:tcBorders>
            <w:shd w:val="clear"/>
            <w:vAlign w:val="center"/>
          </w:tcPr>
          <w:p w14:paraId="65A81D06">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苗圃地养护</w:t>
            </w:r>
            <w:r>
              <w:rPr>
                <w:rFonts w:hint="eastAsia" w:ascii="等线" w:hAnsi="等线" w:eastAsia="等线" w:cs="等线"/>
                <w:i w:val="0"/>
                <w:iCs w:val="0"/>
                <w:color w:val="000000"/>
                <w:kern w:val="0"/>
                <w:sz w:val="18"/>
                <w:szCs w:val="18"/>
                <w:u w:val="none"/>
                <w:bdr w:val="none" w:color="auto" w:sz="0" w:space="0"/>
                <w:lang w:val="en-US" w:eastAsia="zh-CN" w:bidi="ar"/>
              </w:rPr>
              <w:br w:type="textWrapping"/>
            </w:r>
            <w:r>
              <w:rPr>
                <w:rFonts w:hint="eastAsia" w:ascii="等线" w:hAnsi="等线" w:eastAsia="等线" w:cs="等线"/>
                <w:i w:val="0"/>
                <w:iCs w:val="0"/>
                <w:color w:val="000000"/>
                <w:kern w:val="0"/>
                <w:sz w:val="18"/>
                <w:szCs w:val="18"/>
                <w:u w:val="none"/>
                <w:bdr w:val="none" w:color="auto" w:sz="0" w:space="0"/>
                <w:lang w:val="en-US" w:eastAsia="zh-CN" w:bidi="ar"/>
              </w:rPr>
              <w:t>（亩）</w:t>
            </w:r>
          </w:p>
        </w:tc>
        <w:tc>
          <w:tcPr>
            <w:tcW w:w="432" w:type="pct"/>
            <w:tcBorders>
              <w:top w:val="nil"/>
              <w:left w:val="single" w:color="000000" w:sz="4" w:space="0"/>
              <w:bottom w:val="single" w:color="000000" w:sz="4" w:space="0"/>
              <w:right w:val="single" w:color="000000" w:sz="4" w:space="0"/>
            </w:tcBorders>
            <w:shd w:val="clear"/>
            <w:vAlign w:val="center"/>
          </w:tcPr>
          <w:p w14:paraId="42984DC8">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通道、国土绿化养护总价</w:t>
            </w:r>
            <w:r>
              <w:rPr>
                <w:rFonts w:hint="eastAsia" w:ascii="等线" w:hAnsi="等线" w:eastAsia="等线" w:cs="等线"/>
                <w:i w:val="0"/>
                <w:iCs w:val="0"/>
                <w:color w:val="000000"/>
                <w:kern w:val="0"/>
                <w:sz w:val="18"/>
                <w:szCs w:val="18"/>
                <w:u w:val="none"/>
                <w:bdr w:val="none" w:color="auto" w:sz="0" w:space="0"/>
                <w:lang w:val="en-US" w:eastAsia="zh-CN" w:bidi="ar"/>
              </w:rPr>
              <w:br w:type="textWrapping"/>
            </w:r>
            <w:r>
              <w:rPr>
                <w:rFonts w:hint="eastAsia" w:ascii="等线" w:hAnsi="等线" w:eastAsia="等线" w:cs="等线"/>
                <w:i w:val="0"/>
                <w:iCs w:val="0"/>
                <w:color w:val="000000"/>
                <w:kern w:val="0"/>
                <w:sz w:val="18"/>
                <w:szCs w:val="18"/>
                <w:u w:val="none"/>
                <w:bdr w:val="none" w:color="auto" w:sz="0" w:space="0"/>
                <w:lang w:val="en-US" w:eastAsia="zh-CN" w:bidi="ar"/>
              </w:rPr>
              <w:t>（10元/株·年）</w:t>
            </w:r>
          </w:p>
        </w:tc>
        <w:tc>
          <w:tcPr>
            <w:tcW w:w="436" w:type="pct"/>
            <w:tcBorders>
              <w:top w:val="nil"/>
              <w:left w:val="single" w:color="000000" w:sz="4" w:space="0"/>
              <w:bottom w:val="single" w:color="000000" w:sz="4" w:space="0"/>
              <w:right w:val="single" w:color="000000" w:sz="4" w:space="0"/>
            </w:tcBorders>
            <w:shd w:val="clear"/>
            <w:vAlign w:val="center"/>
          </w:tcPr>
          <w:p w14:paraId="3027F7C8">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村屯养护总价                   （5元/株·年）</w:t>
            </w:r>
          </w:p>
        </w:tc>
        <w:tc>
          <w:tcPr>
            <w:tcW w:w="327" w:type="pct"/>
            <w:tcBorders>
              <w:top w:val="nil"/>
              <w:left w:val="single" w:color="000000" w:sz="4" w:space="0"/>
              <w:bottom w:val="single" w:color="000000" w:sz="4" w:space="0"/>
              <w:right w:val="single" w:color="000000" w:sz="4" w:space="0"/>
            </w:tcBorders>
            <w:shd w:val="clear"/>
            <w:vAlign w:val="center"/>
          </w:tcPr>
          <w:p w14:paraId="006C6D53">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绿篱养护总价（3元/平方米）</w:t>
            </w:r>
          </w:p>
        </w:tc>
        <w:tc>
          <w:tcPr>
            <w:tcW w:w="332" w:type="pct"/>
            <w:tcBorders>
              <w:top w:val="nil"/>
              <w:left w:val="single" w:color="000000" w:sz="4" w:space="0"/>
              <w:bottom w:val="single" w:color="000000" w:sz="4" w:space="0"/>
              <w:right w:val="single" w:color="000000" w:sz="4" w:space="0"/>
            </w:tcBorders>
            <w:shd w:val="clear"/>
            <w:vAlign w:val="center"/>
          </w:tcPr>
          <w:p w14:paraId="64495145">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苗圃地养护总价（150元/亩）</w:t>
            </w:r>
          </w:p>
        </w:tc>
        <w:tc>
          <w:tcPr>
            <w:tcW w:w="47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2C98FFCC">
            <w:pPr>
              <w:jc w:val="center"/>
              <w:rPr>
                <w:rFonts w:hint="eastAsia" w:ascii="等线" w:hAnsi="等线" w:eastAsia="等线" w:cs="等线"/>
                <w:i w:val="0"/>
                <w:iCs w:val="0"/>
                <w:color w:val="000000"/>
                <w:sz w:val="18"/>
                <w:szCs w:val="18"/>
                <w:u w:val="none"/>
              </w:rPr>
            </w:pPr>
          </w:p>
        </w:tc>
      </w:tr>
      <w:tr w14:paraId="7CC06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208" w:type="pct"/>
            <w:tcBorders>
              <w:top w:val="single" w:color="000000" w:sz="4" w:space="0"/>
              <w:left w:val="single" w:color="000000" w:sz="4" w:space="0"/>
              <w:bottom w:val="single" w:color="000000" w:sz="4" w:space="0"/>
              <w:right w:val="single" w:color="000000" w:sz="4" w:space="0"/>
            </w:tcBorders>
            <w:shd w:val="clear"/>
            <w:noWrap/>
            <w:vAlign w:val="center"/>
          </w:tcPr>
          <w:p w14:paraId="77C7E7BE">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1</w:t>
            </w:r>
          </w:p>
        </w:tc>
        <w:tc>
          <w:tcPr>
            <w:tcW w:w="385" w:type="pct"/>
            <w:tcBorders>
              <w:top w:val="single" w:color="000000" w:sz="4" w:space="0"/>
              <w:left w:val="single" w:color="000000" w:sz="4" w:space="0"/>
              <w:bottom w:val="single" w:color="000000" w:sz="4" w:space="0"/>
              <w:right w:val="single" w:color="000000" w:sz="4" w:space="0"/>
            </w:tcBorders>
            <w:shd w:val="clear"/>
            <w:noWrap/>
            <w:vAlign w:val="center"/>
          </w:tcPr>
          <w:p w14:paraId="53062D73">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哈业胡同镇</w:t>
            </w:r>
          </w:p>
        </w:tc>
        <w:tc>
          <w:tcPr>
            <w:tcW w:w="384" w:type="pct"/>
            <w:tcBorders>
              <w:top w:val="single" w:color="000000" w:sz="4" w:space="0"/>
              <w:left w:val="single" w:color="000000" w:sz="4" w:space="0"/>
              <w:bottom w:val="single" w:color="000000" w:sz="4" w:space="0"/>
              <w:right w:val="single" w:color="000000" w:sz="4" w:space="0"/>
            </w:tcBorders>
            <w:shd w:val="clear"/>
            <w:noWrap/>
            <w:vAlign w:val="center"/>
          </w:tcPr>
          <w:p w14:paraId="4A83ECD3">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1142190</w:t>
            </w:r>
          </w:p>
        </w:tc>
        <w:tc>
          <w:tcPr>
            <w:tcW w:w="349" w:type="pct"/>
            <w:tcBorders>
              <w:top w:val="single" w:color="000000" w:sz="4" w:space="0"/>
              <w:left w:val="single" w:color="000000" w:sz="4" w:space="0"/>
              <w:bottom w:val="single" w:color="000000" w:sz="4" w:space="0"/>
              <w:right w:val="single" w:color="000000" w:sz="4" w:space="0"/>
            </w:tcBorders>
            <w:shd w:val="clear"/>
            <w:noWrap/>
            <w:vAlign w:val="center"/>
          </w:tcPr>
          <w:p w14:paraId="07F93B22">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99959</w:t>
            </w:r>
          </w:p>
        </w:tc>
        <w:tc>
          <w:tcPr>
            <w:tcW w:w="331" w:type="pct"/>
            <w:tcBorders>
              <w:top w:val="single" w:color="000000" w:sz="4" w:space="0"/>
              <w:left w:val="single" w:color="000000" w:sz="4" w:space="0"/>
              <w:bottom w:val="single" w:color="000000" w:sz="4" w:space="0"/>
              <w:right w:val="single" w:color="000000" w:sz="4" w:space="0"/>
            </w:tcBorders>
            <w:shd w:val="clear"/>
            <w:noWrap/>
            <w:vAlign w:val="center"/>
          </w:tcPr>
          <w:p w14:paraId="5498EB03">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28520</w:t>
            </w:r>
          </w:p>
        </w:tc>
        <w:tc>
          <w:tcPr>
            <w:tcW w:w="384" w:type="pct"/>
            <w:tcBorders>
              <w:top w:val="single" w:color="000000" w:sz="4" w:space="0"/>
              <w:left w:val="single" w:color="000000" w:sz="4" w:space="0"/>
              <w:bottom w:val="single" w:color="000000" w:sz="4" w:space="0"/>
              <w:right w:val="single" w:color="000000" w:sz="4" w:space="0"/>
            </w:tcBorders>
            <w:shd w:val="clear"/>
            <w:noWrap/>
            <w:vAlign w:val="center"/>
          </w:tcPr>
          <w:p w14:paraId="2C9381DD">
            <w:pPr>
              <w:jc w:val="center"/>
              <w:rPr>
                <w:rFonts w:hint="eastAsia" w:ascii="等线" w:hAnsi="等线" w:eastAsia="等线" w:cs="等线"/>
                <w:i w:val="0"/>
                <w:iCs w:val="0"/>
                <w:color w:val="000000"/>
                <w:sz w:val="18"/>
                <w:szCs w:val="18"/>
                <w:u w:val="none"/>
              </w:rPr>
            </w:pPr>
          </w:p>
        </w:tc>
        <w:tc>
          <w:tcPr>
            <w:tcW w:w="353" w:type="pct"/>
            <w:tcBorders>
              <w:top w:val="single" w:color="000000" w:sz="4" w:space="0"/>
              <w:left w:val="single" w:color="000000" w:sz="4" w:space="0"/>
              <w:bottom w:val="single" w:color="000000" w:sz="4" w:space="0"/>
              <w:right w:val="single" w:color="000000" w:sz="4" w:space="0"/>
            </w:tcBorders>
            <w:shd w:val="clear"/>
            <w:noWrap/>
            <w:vAlign w:val="center"/>
          </w:tcPr>
          <w:p w14:paraId="13D29C60">
            <w:pPr>
              <w:jc w:val="center"/>
              <w:rPr>
                <w:rFonts w:hint="eastAsia" w:ascii="等线" w:hAnsi="等线" w:eastAsia="等线" w:cs="等线"/>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noWrap/>
            <w:vAlign w:val="center"/>
          </w:tcPr>
          <w:p w14:paraId="11D203A6">
            <w:pPr>
              <w:jc w:val="center"/>
              <w:rPr>
                <w:rFonts w:hint="eastAsia" w:ascii="等线" w:hAnsi="等线" w:eastAsia="等线" w:cs="等线"/>
                <w:i w:val="0"/>
                <w:iCs w:val="0"/>
                <w:color w:val="000000"/>
                <w:sz w:val="18"/>
                <w:szCs w:val="18"/>
                <w:u w:val="none"/>
              </w:rPr>
            </w:pPr>
          </w:p>
        </w:tc>
        <w:tc>
          <w:tcPr>
            <w:tcW w:w="279" w:type="pct"/>
            <w:tcBorders>
              <w:top w:val="single" w:color="000000" w:sz="4" w:space="0"/>
              <w:left w:val="single" w:color="000000" w:sz="4" w:space="0"/>
              <w:bottom w:val="single" w:color="000000" w:sz="4" w:space="0"/>
              <w:right w:val="single" w:color="000000" w:sz="4" w:space="0"/>
            </w:tcBorders>
            <w:shd w:val="clear"/>
            <w:noWrap/>
            <w:vAlign w:val="center"/>
          </w:tcPr>
          <w:p w14:paraId="253687AA">
            <w:pPr>
              <w:jc w:val="center"/>
              <w:rPr>
                <w:rFonts w:hint="eastAsia" w:ascii="等线" w:hAnsi="等线" w:eastAsia="等线" w:cs="等线"/>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noWrap/>
            <w:vAlign w:val="center"/>
          </w:tcPr>
          <w:p w14:paraId="71A90AF1">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999590</w:t>
            </w:r>
          </w:p>
        </w:tc>
        <w:tc>
          <w:tcPr>
            <w:tcW w:w="436" w:type="pct"/>
            <w:tcBorders>
              <w:top w:val="single" w:color="000000" w:sz="4" w:space="0"/>
              <w:left w:val="single" w:color="000000" w:sz="4" w:space="0"/>
              <w:bottom w:val="single" w:color="000000" w:sz="4" w:space="0"/>
              <w:right w:val="single" w:color="000000" w:sz="4" w:space="0"/>
            </w:tcBorders>
            <w:shd w:val="clear"/>
            <w:noWrap/>
            <w:vAlign w:val="center"/>
          </w:tcPr>
          <w:p w14:paraId="66475ECF">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142600</w:t>
            </w:r>
          </w:p>
        </w:tc>
        <w:tc>
          <w:tcPr>
            <w:tcW w:w="327" w:type="pct"/>
            <w:tcBorders>
              <w:top w:val="single" w:color="000000" w:sz="4" w:space="0"/>
              <w:left w:val="single" w:color="000000" w:sz="4" w:space="0"/>
              <w:bottom w:val="single" w:color="000000" w:sz="4" w:space="0"/>
              <w:right w:val="single" w:color="000000" w:sz="4" w:space="0"/>
            </w:tcBorders>
            <w:shd w:val="clear"/>
            <w:noWrap/>
            <w:vAlign w:val="center"/>
          </w:tcPr>
          <w:p w14:paraId="1A5B2B2B">
            <w:pPr>
              <w:jc w:val="center"/>
              <w:rPr>
                <w:rFonts w:hint="eastAsia" w:ascii="等线" w:hAnsi="等线" w:eastAsia="等线" w:cs="等线"/>
                <w:i w:val="0"/>
                <w:iCs w:val="0"/>
                <w:color w:val="000000"/>
                <w:sz w:val="18"/>
                <w:szCs w:val="18"/>
                <w:u w:val="none"/>
              </w:rPr>
            </w:pPr>
          </w:p>
        </w:tc>
        <w:tc>
          <w:tcPr>
            <w:tcW w:w="332" w:type="pct"/>
            <w:tcBorders>
              <w:top w:val="single" w:color="000000" w:sz="4" w:space="0"/>
              <w:left w:val="single" w:color="000000" w:sz="4" w:space="0"/>
              <w:bottom w:val="single" w:color="000000" w:sz="4" w:space="0"/>
              <w:right w:val="single" w:color="000000" w:sz="4" w:space="0"/>
            </w:tcBorders>
            <w:shd w:val="clear"/>
            <w:noWrap/>
            <w:vAlign w:val="bottom"/>
          </w:tcPr>
          <w:p w14:paraId="01791B84">
            <w:pPr>
              <w:rPr>
                <w:rFonts w:hint="eastAsia" w:ascii="等线" w:hAnsi="等线" w:eastAsia="等线" w:cs="等线"/>
                <w:i w:val="0"/>
                <w:iCs w:val="0"/>
                <w:color w:val="000000"/>
                <w:sz w:val="18"/>
                <w:szCs w:val="18"/>
                <w:u w:val="none"/>
              </w:rPr>
            </w:pPr>
          </w:p>
        </w:tc>
        <w:tc>
          <w:tcPr>
            <w:tcW w:w="475" w:type="pct"/>
            <w:tcBorders>
              <w:top w:val="single" w:color="000000" w:sz="4" w:space="0"/>
              <w:left w:val="single" w:color="000000" w:sz="4" w:space="0"/>
              <w:bottom w:val="single" w:color="000000" w:sz="4" w:space="0"/>
              <w:right w:val="single" w:color="000000" w:sz="4" w:space="0"/>
            </w:tcBorders>
            <w:shd w:val="clear"/>
            <w:noWrap/>
            <w:vAlign w:val="bottom"/>
          </w:tcPr>
          <w:p w14:paraId="4330CF9B">
            <w:pPr>
              <w:rPr>
                <w:rFonts w:hint="eastAsia" w:ascii="等线" w:hAnsi="等线" w:eastAsia="等线" w:cs="等线"/>
                <w:i w:val="0"/>
                <w:iCs w:val="0"/>
                <w:color w:val="000000"/>
                <w:sz w:val="18"/>
                <w:szCs w:val="18"/>
                <w:u w:val="none"/>
              </w:rPr>
            </w:pPr>
          </w:p>
        </w:tc>
      </w:tr>
      <w:tr w14:paraId="32D76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208"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199AF158">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2</w:t>
            </w:r>
          </w:p>
        </w:tc>
        <w:tc>
          <w:tcPr>
            <w:tcW w:w="385" w:type="pct"/>
            <w:tcBorders>
              <w:top w:val="single" w:color="000000" w:sz="4" w:space="0"/>
              <w:left w:val="single" w:color="000000" w:sz="4" w:space="0"/>
              <w:bottom w:val="single" w:color="000000" w:sz="4" w:space="0"/>
              <w:right w:val="single" w:color="000000" w:sz="4" w:space="0"/>
            </w:tcBorders>
            <w:shd w:val="clear"/>
            <w:noWrap/>
            <w:vAlign w:val="center"/>
          </w:tcPr>
          <w:p w14:paraId="71957B08">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哈林格尔镇</w:t>
            </w:r>
          </w:p>
        </w:tc>
        <w:tc>
          <w:tcPr>
            <w:tcW w:w="384" w:type="pct"/>
            <w:tcBorders>
              <w:top w:val="single" w:color="000000" w:sz="4" w:space="0"/>
              <w:left w:val="single" w:color="000000" w:sz="4" w:space="0"/>
              <w:bottom w:val="single" w:color="000000" w:sz="4" w:space="0"/>
              <w:right w:val="single" w:color="000000" w:sz="4" w:space="0"/>
            </w:tcBorders>
            <w:shd w:val="clear"/>
            <w:noWrap/>
            <w:vAlign w:val="center"/>
          </w:tcPr>
          <w:p w14:paraId="2CFFEFED">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1399993</w:t>
            </w:r>
          </w:p>
        </w:tc>
        <w:tc>
          <w:tcPr>
            <w:tcW w:w="349" w:type="pct"/>
            <w:tcBorders>
              <w:top w:val="single" w:color="000000" w:sz="4" w:space="0"/>
              <w:left w:val="single" w:color="000000" w:sz="4" w:space="0"/>
              <w:bottom w:val="single" w:color="000000" w:sz="4" w:space="0"/>
              <w:right w:val="single" w:color="000000" w:sz="4" w:space="0"/>
            </w:tcBorders>
            <w:shd w:val="clear"/>
            <w:noWrap/>
            <w:vAlign w:val="center"/>
          </w:tcPr>
          <w:p w14:paraId="209DD922">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122829</w:t>
            </w:r>
          </w:p>
        </w:tc>
        <w:tc>
          <w:tcPr>
            <w:tcW w:w="331" w:type="pct"/>
            <w:tcBorders>
              <w:top w:val="single" w:color="000000" w:sz="4" w:space="0"/>
              <w:left w:val="single" w:color="000000" w:sz="4" w:space="0"/>
              <w:bottom w:val="single" w:color="000000" w:sz="4" w:space="0"/>
              <w:right w:val="single" w:color="000000" w:sz="4" w:space="0"/>
            </w:tcBorders>
            <w:shd w:val="clear"/>
            <w:noWrap/>
            <w:vAlign w:val="center"/>
          </w:tcPr>
          <w:p w14:paraId="6D946010">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32612</w:t>
            </w:r>
          </w:p>
        </w:tc>
        <w:tc>
          <w:tcPr>
            <w:tcW w:w="384" w:type="pct"/>
            <w:tcBorders>
              <w:top w:val="single" w:color="000000" w:sz="4" w:space="0"/>
              <w:left w:val="single" w:color="000000" w:sz="4" w:space="0"/>
              <w:bottom w:val="single" w:color="000000" w:sz="4" w:space="0"/>
              <w:right w:val="single" w:color="000000" w:sz="4" w:space="0"/>
            </w:tcBorders>
            <w:shd w:val="clear"/>
            <w:noWrap/>
            <w:vAlign w:val="center"/>
          </w:tcPr>
          <w:p w14:paraId="792D032F">
            <w:pPr>
              <w:jc w:val="center"/>
              <w:rPr>
                <w:rFonts w:hint="eastAsia" w:ascii="等线" w:hAnsi="等线" w:eastAsia="等线" w:cs="等线"/>
                <w:i w:val="0"/>
                <w:iCs w:val="0"/>
                <w:color w:val="000000"/>
                <w:sz w:val="18"/>
                <w:szCs w:val="18"/>
                <w:u w:val="none"/>
              </w:rPr>
            </w:pPr>
          </w:p>
        </w:tc>
        <w:tc>
          <w:tcPr>
            <w:tcW w:w="353" w:type="pct"/>
            <w:tcBorders>
              <w:top w:val="single" w:color="000000" w:sz="4" w:space="0"/>
              <w:left w:val="single" w:color="000000" w:sz="4" w:space="0"/>
              <w:bottom w:val="single" w:color="000000" w:sz="4" w:space="0"/>
              <w:right w:val="single" w:color="000000" w:sz="4" w:space="0"/>
            </w:tcBorders>
            <w:shd w:val="clear"/>
            <w:noWrap/>
            <w:vAlign w:val="center"/>
          </w:tcPr>
          <w:p w14:paraId="53D8820A">
            <w:pPr>
              <w:jc w:val="center"/>
              <w:rPr>
                <w:rFonts w:hint="eastAsia" w:ascii="等线" w:hAnsi="等线" w:eastAsia="等线" w:cs="等线"/>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noWrap/>
            <w:vAlign w:val="center"/>
          </w:tcPr>
          <w:p w14:paraId="06AE2DF9">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2881</w:t>
            </w:r>
          </w:p>
        </w:tc>
        <w:tc>
          <w:tcPr>
            <w:tcW w:w="279" w:type="pct"/>
            <w:tcBorders>
              <w:top w:val="single" w:color="000000" w:sz="4" w:space="0"/>
              <w:left w:val="single" w:color="000000" w:sz="4" w:space="0"/>
              <w:bottom w:val="single" w:color="000000" w:sz="4" w:space="0"/>
              <w:right w:val="single" w:color="000000" w:sz="4" w:space="0"/>
            </w:tcBorders>
            <w:shd w:val="clear"/>
            <w:noWrap/>
            <w:vAlign w:val="center"/>
          </w:tcPr>
          <w:p w14:paraId="148CBAD6">
            <w:pPr>
              <w:jc w:val="center"/>
              <w:rPr>
                <w:rFonts w:hint="eastAsia" w:ascii="等线" w:hAnsi="等线" w:eastAsia="等线" w:cs="等线"/>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noWrap/>
            <w:vAlign w:val="center"/>
          </w:tcPr>
          <w:p w14:paraId="6AA36EF6">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1228290</w:t>
            </w:r>
          </w:p>
        </w:tc>
        <w:tc>
          <w:tcPr>
            <w:tcW w:w="436" w:type="pct"/>
            <w:tcBorders>
              <w:top w:val="single" w:color="000000" w:sz="4" w:space="0"/>
              <w:left w:val="single" w:color="000000" w:sz="4" w:space="0"/>
              <w:bottom w:val="single" w:color="000000" w:sz="4" w:space="0"/>
              <w:right w:val="single" w:color="000000" w:sz="4" w:space="0"/>
            </w:tcBorders>
            <w:shd w:val="clear"/>
            <w:noWrap/>
            <w:vAlign w:val="center"/>
          </w:tcPr>
          <w:p w14:paraId="35110839">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163060</w:t>
            </w:r>
          </w:p>
        </w:tc>
        <w:tc>
          <w:tcPr>
            <w:tcW w:w="327" w:type="pct"/>
            <w:tcBorders>
              <w:top w:val="single" w:color="000000" w:sz="4" w:space="0"/>
              <w:left w:val="single" w:color="000000" w:sz="4" w:space="0"/>
              <w:bottom w:val="single" w:color="000000" w:sz="4" w:space="0"/>
              <w:right w:val="single" w:color="000000" w:sz="4" w:space="0"/>
            </w:tcBorders>
            <w:shd w:val="clear"/>
            <w:noWrap/>
            <w:vAlign w:val="center"/>
          </w:tcPr>
          <w:p w14:paraId="58C77497">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8643</w:t>
            </w:r>
          </w:p>
        </w:tc>
        <w:tc>
          <w:tcPr>
            <w:tcW w:w="332" w:type="pct"/>
            <w:tcBorders>
              <w:top w:val="single" w:color="000000" w:sz="4" w:space="0"/>
              <w:left w:val="single" w:color="000000" w:sz="4" w:space="0"/>
              <w:bottom w:val="single" w:color="000000" w:sz="4" w:space="0"/>
              <w:right w:val="single" w:color="000000" w:sz="4" w:space="0"/>
            </w:tcBorders>
            <w:shd w:val="clear"/>
            <w:noWrap/>
            <w:vAlign w:val="bottom"/>
          </w:tcPr>
          <w:p w14:paraId="00E04047">
            <w:pPr>
              <w:rPr>
                <w:rFonts w:hint="eastAsia" w:ascii="等线" w:hAnsi="等线" w:eastAsia="等线" w:cs="等线"/>
                <w:i w:val="0"/>
                <w:iCs w:val="0"/>
                <w:color w:val="000000"/>
                <w:sz w:val="18"/>
                <w:szCs w:val="18"/>
                <w:u w:val="none"/>
              </w:rPr>
            </w:pPr>
          </w:p>
        </w:tc>
        <w:tc>
          <w:tcPr>
            <w:tcW w:w="475" w:type="pct"/>
            <w:tcBorders>
              <w:top w:val="single" w:color="000000" w:sz="4" w:space="0"/>
              <w:left w:val="single" w:color="000000" w:sz="4" w:space="0"/>
              <w:bottom w:val="single" w:color="000000" w:sz="4" w:space="0"/>
              <w:right w:val="single" w:color="000000" w:sz="4" w:space="0"/>
            </w:tcBorders>
            <w:shd w:val="clear"/>
            <w:noWrap/>
            <w:vAlign w:val="bottom"/>
          </w:tcPr>
          <w:p w14:paraId="71B6E7C2">
            <w:pPr>
              <w:rPr>
                <w:rFonts w:hint="eastAsia" w:ascii="等线" w:hAnsi="等线" w:eastAsia="等线" w:cs="等线"/>
                <w:i w:val="0"/>
                <w:iCs w:val="0"/>
                <w:color w:val="000000"/>
                <w:sz w:val="18"/>
                <w:szCs w:val="18"/>
                <w:u w:val="none"/>
              </w:rPr>
            </w:pPr>
          </w:p>
        </w:tc>
      </w:tr>
      <w:tr w14:paraId="5B18C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0" w:hRule="atLeast"/>
        </w:trPr>
        <w:tc>
          <w:tcPr>
            <w:tcW w:w="208"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3C16AE05">
            <w:pPr>
              <w:jc w:val="center"/>
              <w:rPr>
                <w:rFonts w:hint="eastAsia" w:ascii="等线" w:hAnsi="等线" w:eastAsia="等线" w:cs="等线"/>
                <w:i w:val="0"/>
                <w:iCs w:val="0"/>
                <w:color w:val="000000"/>
                <w:sz w:val="18"/>
                <w:szCs w:val="18"/>
                <w:u w:val="none"/>
              </w:rPr>
            </w:pPr>
          </w:p>
        </w:tc>
        <w:tc>
          <w:tcPr>
            <w:tcW w:w="385" w:type="pct"/>
            <w:tcBorders>
              <w:top w:val="single" w:color="000000" w:sz="4" w:space="0"/>
              <w:left w:val="single" w:color="000000" w:sz="4" w:space="0"/>
              <w:bottom w:val="single" w:color="000000" w:sz="4" w:space="0"/>
              <w:right w:val="single" w:color="000000" w:sz="4" w:space="0"/>
            </w:tcBorders>
            <w:shd w:val="clear"/>
            <w:noWrap/>
            <w:vAlign w:val="center"/>
          </w:tcPr>
          <w:p w14:paraId="18AF5A50">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宋昭公路</w:t>
            </w:r>
          </w:p>
        </w:tc>
        <w:tc>
          <w:tcPr>
            <w:tcW w:w="384" w:type="pct"/>
            <w:tcBorders>
              <w:top w:val="single" w:color="000000" w:sz="4" w:space="0"/>
              <w:left w:val="single" w:color="000000" w:sz="4" w:space="0"/>
              <w:bottom w:val="single" w:color="000000" w:sz="4" w:space="0"/>
              <w:right w:val="single" w:color="000000" w:sz="4" w:space="0"/>
            </w:tcBorders>
            <w:shd w:val="clear"/>
            <w:noWrap/>
            <w:vAlign w:val="center"/>
          </w:tcPr>
          <w:p w14:paraId="7455EC5A">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1231000</w:t>
            </w:r>
          </w:p>
        </w:tc>
        <w:tc>
          <w:tcPr>
            <w:tcW w:w="349" w:type="pct"/>
            <w:tcBorders>
              <w:top w:val="single" w:color="000000" w:sz="4" w:space="0"/>
              <w:left w:val="single" w:color="000000" w:sz="4" w:space="0"/>
              <w:bottom w:val="single" w:color="000000" w:sz="4" w:space="0"/>
              <w:right w:val="single" w:color="000000" w:sz="4" w:space="0"/>
            </w:tcBorders>
            <w:shd w:val="clear"/>
            <w:noWrap/>
            <w:vAlign w:val="center"/>
          </w:tcPr>
          <w:p w14:paraId="0BA69F40">
            <w:pPr>
              <w:jc w:val="center"/>
              <w:rPr>
                <w:rFonts w:hint="eastAsia" w:ascii="等线" w:hAnsi="等线" w:eastAsia="等线" w:cs="等线"/>
                <w:i w:val="0"/>
                <w:iCs w:val="0"/>
                <w:color w:val="FF0000"/>
                <w:sz w:val="18"/>
                <w:szCs w:val="18"/>
                <w:u w:val="none"/>
              </w:rPr>
            </w:pPr>
          </w:p>
        </w:tc>
        <w:tc>
          <w:tcPr>
            <w:tcW w:w="331" w:type="pct"/>
            <w:tcBorders>
              <w:top w:val="single" w:color="000000" w:sz="4" w:space="0"/>
              <w:left w:val="single" w:color="000000" w:sz="4" w:space="0"/>
              <w:bottom w:val="single" w:color="000000" w:sz="4" w:space="0"/>
              <w:right w:val="single" w:color="000000" w:sz="4" w:space="0"/>
            </w:tcBorders>
            <w:shd w:val="clear"/>
            <w:noWrap/>
            <w:vAlign w:val="center"/>
          </w:tcPr>
          <w:p w14:paraId="2FAE714B">
            <w:pPr>
              <w:jc w:val="center"/>
              <w:rPr>
                <w:rFonts w:hint="eastAsia" w:ascii="等线" w:hAnsi="等线" w:eastAsia="等线" w:cs="等线"/>
                <w:i w:val="0"/>
                <w:iCs w:val="0"/>
                <w:color w:val="FF0000"/>
                <w:sz w:val="18"/>
                <w:szCs w:val="18"/>
                <w:u w:val="none"/>
              </w:rPr>
            </w:pPr>
          </w:p>
        </w:tc>
        <w:tc>
          <w:tcPr>
            <w:tcW w:w="384" w:type="pct"/>
            <w:tcBorders>
              <w:top w:val="single" w:color="000000" w:sz="4" w:space="0"/>
              <w:left w:val="single" w:color="000000" w:sz="4" w:space="0"/>
              <w:bottom w:val="single" w:color="000000" w:sz="4" w:space="0"/>
              <w:right w:val="single" w:color="000000" w:sz="4" w:space="0"/>
            </w:tcBorders>
            <w:shd w:val="clear"/>
            <w:noWrap/>
            <w:vAlign w:val="center"/>
          </w:tcPr>
          <w:p w14:paraId="03547C12">
            <w:pPr>
              <w:jc w:val="center"/>
              <w:rPr>
                <w:rFonts w:hint="eastAsia" w:ascii="等线" w:hAnsi="等线" w:eastAsia="等线" w:cs="等线"/>
                <w:i w:val="0"/>
                <w:iCs w:val="0"/>
                <w:color w:val="FF0000"/>
                <w:sz w:val="18"/>
                <w:szCs w:val="18"/>
                <w:u w:val="none"/>
              </w:rPr>
            </w:pPr>
          </w:p>
        </w:tc>
        <w:tc>
          <w:tcPr>
            <w:tcW w:w="353" w:type="pct"/>
            <w:tcBorders>
              <w:top w:val="single" w:color="000000" w:sz="4" w:space="0"/>
              <w:left w:val="single" w:color="000000" w:sz="4" w:space="0"/>
              <w:bottom w:val="single" w:color="000000" w:sz="4" w:space="0"/>
              <w:right w:val="single" w:color="000000" w:sz="4" w:space="0"/>
            </w:tcBorders>
            <w:shd w:val="clear"/>
            <w:noWrap/>
            <w:vAlign w:val="center"/>
          </w:tcPr>
          <w:p w14:paraId="276E7C79">
            <w:pPr>
              <w:jc w:val="center"/>
              <w:rPr>
                <w:rFonts w:hint="eastAsia" w:ascii="等线" w:hAnsi="等线" w:eastAsia="等线" w:cs="等线"/>
                <w:i w:val="0"/>
                <w:iCs w:val="0"/>
                <w:color w:val="FF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noWrap/>
            <w:vAlign w:val="center"/>
          </w:tcPr>
          <w:p w14:paraId="3EB0088E">
            <w:pPr>
              <w:jc w:val="center"/>
              <w:rPr>
                <w:rFonts w:hint="eastAsia" w:ascii="等线" w:hAnsi="等线" w:eastAsia="等线" w:cs="等线"/>
                <w:i w:val="0"/>
                <w:iCs w:val="0"/>
                <w:color w:val="FF0000"/>
                <w:sz w:val="18"/>
                <w:szCs w:val="18"/>
                <w:u w:val="none"/>
              </w:rPr>
            </w:pPr>
          </w:p>
        </w:tc>
        <w:tc>
          <w:tcPr>
            <w:tcW w:w="279" w:type="pct"/>
            <w:tcBorders>
              <w:top w:val="single" w:color="000000" w:sz="4" w:space="0"/>
              <w:left w:val="single" w:color="000000" w:sz="4" w:space="0"/>
              <w:bottom w:val="single" w:color="000000" w:sz="4" w:space="0"/>
              <w:right w:val="single" w:color="000000" w:sz="4" w:space="0"/>
            </w:tcBorders>
            <w:shd w:val="clear"/>
            <w:noWrap/>
            <w:vAlign w:val="center"/>
          </w:tcPr>
          <w:p w14:paraId="69B566C1">
            <w:pPr>
              <w:jc w:val="center"/>
              <w:rPr>
                <w:rFonts w:hint="eastAsia" w:ascii="等线" w:hAnsi="等线" w:eastAsia="等线" w:cs="等线"/>
                <w:i w:val="0"/>
                <w:iCs w:val="0"/>
                <w:color w:val="FF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noWrap/>
            <w:vAlign w:val="center"/>
          </w:tcPr>
          <w:p w14:paraId="7BFE3A56">
            <w:pPr>
              <w:jc w:val="center"/>
              <w:rPr>
                <w:rFonts w:hint="eastAsia" w:ascii="等线" w:hAnsi="等线" w:eastAsia="等线" w:cs="等线"/>
                <w:i w:val="0"/>
                <w:iCs w:val="0"/>
                <w:color w:val="FF0000"/>
                <w:sz w:val="18"/>
                <w:szCs w:val="18"/>
                <w:u w:val="none"/>
              </w:rPr>
            </w:pPr>
          </w:p>
        </w:tc>
        <w:tc>
          <w:tcPr>
            <w:tcW w:w="436" w:type="pct"/>
            <w:tcBorders>
              <w:top w:val="single" w:color="000000" w:sz="4" w:space="0"/>
              <w:left w:val="single" w:color="000000" w:sz="4" w:space="0"/>
              <w:bottom w:val="single" w:color="000000" w:sz="4" w:space="0"/>
              <w:right w:val="single" w:color="000000" w:sz="4" w:space="0"/>
            </w:tcBorders>
            <w:shd w:val="clear"/>
            <w:noWrap/>
            <w:vAlign w:val="center"/>
          </w:tcPr>
          <w:p w14:paraId="326654A9">
            <w:pPr>
              <w:jc w:val="center"/>
              <w:rPr>
                <w:rFonts w:hint="eastAsia" w:ascii="等线" w:hAnsi="等线" w:eastAsia="等线" w:cs="等线"/>
                <w:i w:val="0"/>
                <w:iCs w:val="0"/>
                <w:color w:val="FF0000"/>
                <w:sz w:val="18"/>
                <w:szCs w:val="18"/>
                <w:u w:val="none"/>
              </w:rPr>
            </w:pPr>
          </w:p>
        </w:tc>
        <w:tc>
          <w:tcPr>
            <w:tcW w:w="327" w:type="pct"/>
            <w:tcBorders>
              <w:top w:val="single" w:color="000000" w:sz="4" w:space="0"/>
              <w:left w:val="single" w:color="000000" w:sz="4" w:space="0"/>
              <w:bottom w:val="single" w:color="000000" w:sz="4" w:space="0"/>
              <w:right w:val="single" w:color="000000" w:sz="4" w:space="0"/>
            </w:tcBorders>
            <w:shd w:val="clear"/>
            <w:noWrap/>
            <w:vAlign w:val="center"/>
          </w:tcPr>
          <w:p w14:paraId="01F25795">
            <w:pPr>
              <w:jc w:val="center"/>
              <w:rPr>
                <w:rFonts w:hint="eastAsia" w:ascii="等线" w:hAnsi="等线" w:eastAsia="等线" w:cs="等线"/>
                <w:i w:val="0"/>
                <w:iCs w:val="0"/>
                <w:color w:val="FF0000"/>
                <w:sz w:val="18"/>
                <w:szCs w:val="18"/>
                <w:u w:val="none"/>
              </w:rPr>
            </w:pPr>
          </w:p>
        </w:tc>
        <w:tc>
          <w:tcPr>
            <w:tcW w:w="332" w:type="pct"/>
            <w:tcBorders>
              <w:top w:val="single" w:color="000000" w:sz="4" w:space="0"/>
              <w:left w:val="single" w:color="000000" w:sz="4" w:space="0"/>
              <w:bottom w:val="single" w:color="000000" w:sz="4" w:space="0"/>
              <w:right w:val="single" w:color="000000" w:sz="4" w:space="0"/>
            </w:tcBorders>
            <w:shd w:val="clear"/>
            <w:vAlign w:val="center"/>
          </w:tcPr>
          <w:p w14:paraId="3769549A">
            <w:pPr>
              <w:jc w:val="center"/>
              <w:rPr>
                <w:rFonts w:hint="eastAsia" w:ascii="等线" w:hAnsi="等线" w:eastAsia="等线" w:cs="等线"/>
                <w:i w:val="0"/>
                <w:iCs w:val="0"/>
                <w:color w:val="000000"/>
                <w:sz w:val="18"/>
                <w:szCs w:val="18"/>
                <w:u w:val="none"/>
              </w:rPr>
            </w:pPr>
          </w:p>
        </w:tc>
        <w:tc>
          <w:tcPr>
            <w:tcW w:w="475" w:type="pct"/>
            <w:tcBorders>
              <w:top w:val="single" w:color="000000" w:sz="4" w:space="0"/>
              <w:left w:val="single" w:color="000000" w:sz="4" w:space="0"/>
              <w:bottom w:val="single" w:color="000000" w:sz="4" w:space="0"/>
              <w:right w:val="single" w:color="000000" w:sz="4" w:space="0"/>
            </w:tcBorders>
            <w:shd w:val="clear"/>
            <w:vAlign w:val="center"/>
          </w:tcPr>
          <w:p w14:paraId="7ADAD628">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卫矛3763株，丁香3620丛，水蜡篱12388.53平米，金叶榆篱11401.39平米（36株/平米），侧柏篱2470.68平米，丁香篱1400平米，金叶榆篱2100平米（30株/平米）。</w:t>
            </w:r>
          </w:p>
        </w:tc>
      </w:tr>
      <w:tr w14:paraId="01800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208" w:type="pct"/>
            <w:tcBorders>
              <w:top w:val="single" w:color="000000" w:sz="4" w:space="0"/>
              <w:left w:val="single" w:color="000000" w:sz="4" w:space="0"/>
              <w:bottom w:val="single" w:color="000000" w:sz="4" w:space="0"/>
              <w:right w:val="single" w:color="000000" w:sz="4" w:space="0"/>
            </w:tcBorders>
            <w:shd w:val="clear"/>
            <w:noWrap/>
            <w:vAlign w:val="center"/>
          </w:tcPr>
          <w:p w14:paraId="1A87A1BF">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3</w:t>
            </w:r>
          </w:p>
        </w:tc>
        <w:tc>
          <w:tcPr>
            <w:tcW w:w="385" w:type="pct"/>
            <w:tcBorders>
              <w:top w:val="single" w:color="000000" w:sz="4" w:space="0"/>
              <w:left w:val="single" w:color="000000" w:sz="4" w:space="0"/>
              <w:bottom w:val="single" w:color="000000" w:sz="4" w:space="0"/>
              <w:right w:val="single" w:color="000000" w:sz="4" w:space="0"/>
            </w:tcBorders>
            <w:shd w:val="clear"/>
            <w:noWrap/>
            <w:vAlign w:val="center"/>
          </w:tcPr>
          <w:p w14:paraId="2A7D69B4">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麻池镇</w:t>
            </w:r>
          </w:p>
        </w:tc>
        <w:tc>
          <w:tcPr>
            <w:tcW w:w="384" w:type="pct"/>
            <w:tcBorders>
              <w:top w:val="single" w:color="000000" w:sz="4" w:space="0"/>
              <w:left w:val="single" w:color="000000" w:sz="4" w:space="0"/>
              <w:bottom w:val="single" w:color="000000" w:sz="4" w:space="0"/>
              <w:right w:val="single" w:color="000000" w:sz="4" w:space="0"/>
            </w:tcBorders>
            <w:shd w:val="clear"/>
            <w:noWrap/>
            <w:vAlign w:val="center"/>
          </w:tcPr>
          <w:p w14:paraId="719BBD0A">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677765</w:t>
            </w:r>
          </w:p>
        </w:tc>
        <w:tc>
          <w:tcPr>
            <w:tcW w:w="349" w:type="pct"/>
            <w:tcBorders>
              <w:top w:val="single" w:color="000000" w:sz="4" w:space="0"/>
              <w:left w:val="single" w:color="000000" w:sz="4" w:space="0"/>
              <w:bottom w:val="single" w:color="000000" w:sz="4" w:space="0"/>
              <w:right w:val="single" w:color="000000" w:sz="4" w:space="0"/>
            </w:tcBorders>
            <w:shd w:val="clear"/>
            <w:noWrap/>
            <w:vAlign w:val="center"/>
          </w:tcPr>
          <w:p w14:paraId="140FCCC9">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51720</w:t>
            </w:r>
          </w:p>
        </w:tc>
        <w:tc>
          <w:tcPr>
            <w:tcW w:w="331" w:type="pct"/>
            <w:tcBorders>
              <w:top w:val="single" w:color="000000" w:sz="4" w:space="0"/>
              <w:left w:val="single" w:color="000000" w:sz="4" w:space="0"/>
              <w:bottom w:val="single" w:color="000000" w:sz="4" w:space="0"/>
              <w:right w:val="single" w:color="000000" w:sz="4" w:space="0"/>
            </w:tcBorders>
            <w:shd w:val="clear"/>
            <w:noWrap/>
            <w:vAlign w:val="center"/>
          </w:tcPr>
          <w:p w14:paraId="00B6A3EB">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32113</w:t>
            </w:r>
          </w:p>
        </w:tc>
        <w:tc>
          <w:tcPr>
            <w:tcW w:w="384" w:type="pct"/>
            <w:tcBorders>
              <w:top w:val="single" w:color="000000" w:sz="4" w:space="0"/>
              <w:left w:val="single" w:color="000000" w:sz="4" w:space="0"/>
              <w:bottom w:val="single" w:color="000000" w:sz="4" w:space="0"/>
              <w:right w:val="single" w:color="000000" w:sz="4" w:space="0"/>
            </w:tcBorders>
            <w:shd w:val="clear"/>
            <w:noWrap/>
            <w:vAlign w:val="center"/>
          </w:tcPr>
          <w:p w14:paraId="0B94C25A">
            <w:pPr>
              <w:jc w:val="center"/>
              <w:rPr>
                <w:rFonts w:hint="eastAsia" w:ascii="等线" w:hAnsi="等线" w:eastAsia="等线" w:cs="等线"/>
                <w:i w:val="0"/>
                <w:iCs w:val="0"/>
                <w:color w:val="000000"/>
                <w:sz w:val="18"/>
                <w:szCs w:val="18"/>
                <w:u w:val="none"/>
              </w:rPr>
            </w:pPr>
          </w:p>
        </w:tc>
        <w:tc>
          <w:tcPr>
            <w:tcW w:w="353" w:type="pct"/>
            <w:tcBorders>
              <w:top w:val="single" w:color="000000" w:sz="4" w:space="0"/>
              <w:left w:val="single" w:color="000000" w:sz="4" w:space="0"/>
              <w:bottom w:val="single" w:color="000000" w:sz="4" w:space="0"/>
              <w:right w:val="single" w:color="000000" w:sz="4" w:space="0"/>
            </w:tcBorders>
            <w:shd w:val="clear"/>
            <w:noWrap/>
            <w:vAlign w:val="center"/>
          </w:tcPr>
          <w:p w14:paraId="69BDC8F1">
            <w:pPr>
              <w:jc w:val="center"/>
              <w:rPr>
                <w:rFonts w:hint="eastAsia" w:ascii="等线" w:hAnsi="等线" w:eastAsia="等线" w:cs="等线"/>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noWrap/>
            <w:vAlign w:val="center"/>
          </w:tcPr>
          <w:p w14:paraId="6B23EF35">
            <w:pPr>
              <w:jc w:val="center"/>
              <w:rPr>
                <w:rFonts w:hint="eastAsia" w:ascii="等线" w:hAnsi="等线" w:eastAsia="等线" w:cs="等线"/>
                <w:i w:val="0"/>
                <w:iCs w:val="0"/>
                <w:color w:val="000000"/>
                <w:sz w:val="18"/>
                <w:szCs w:val="18"/>
                <w:u w:val="none"/>
              </w:rPr>
            </w:pPr>
          </w:p>
        </w:tc>
        <w:tc>
          <w:tcPr>
            <w:tcW w:w="279" w:type="pct"/>
            <w:tcBorders>
              <w:top w:val="single" w:color="000000" w:sz="4" w:space="0"/>
              <w:left w:val="single" w:color="000000" w:sz="4" w:space="0"/>
              <w:bottom w:val="single" w:color="000000" w:sz="4" w:space="0"/>
              <w:right w:val="single" w:color="000000" w:sz="4" w:space="0"/>
            </w:tcBorders>
            <w:shd w:val="clear"/>
            <w:noWrap/>
            <w:vAlign w:val="center"/>
          </w:tcPr>
          <w:p w14:paraId="243225E1">
            <w:pPr>
              <w:jc w:val="center"/>
              <w:rPr>
                <w:rFonts w:hint="eastAsia" w:ascii="等线" w:hAnsi="等线" w:eastAsia="等线" w:cs="等线"/>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noWrap/>
            <w:vAlign w:val="center"/>
          </w:tcPr>
          <w:p w14:paraId="3CDAD3FC">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517200</w:t>
            </w:r>
          </w:p>
        </w:tc>
        <w:tc>
          <w:tcPr>
            <w:tcW w:w="436" w:type="pct"/>
            <w:tcBorders>
              <w:top w:val="single" w:color="000000" w:sz="4" w:space="0"/>
              <w:left w:val="single" w:color="000000" w:sz="4" w:space="0"/>
              <w:bottom w:val="single" w:color="000000" w:sz="4" w:space="0"/>
              <w:right w:val="single" w:color="000000" w:sz="4" w:space="0"/>
            </w:tcBorders>
            <w:shd w:val="clear"/>
            <w:noWrap/>
            <w:vAlign w:val="center"/>
          </w:tcPr>
          <w:p w14:paraId="18DE7D2E">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160565</w:t>
            </w:r>
          </w:p>
        </w:tc>
        <w:tc>
          <w:tcPr>
            <w:tcW w:w="327" w:type="pct"/>
            <w:tcBorders>
              <w:top w:val="single" w:color="000000" w:sz="4" w:space="0"/>
              <w:left w:val="single" w:color="000000" w:sz="4" w:space="0"/>
              <w:bottom w:val="single" w:color="000000" w:sz="4" w:space="0"/>
              <w:right w:val="single" w:color="000000" w:sz="4" w:space="0"/>
            </w:tcBorders>
            <w:shd w:val="clear"/>
            <w:noWrap/>
            <w:vAlign w:val="center"/>
          </w:tcPr>
          <w:p w14:paraId="5EF0E302">
            <w:pPr>
              <w:jc w:val="center"/>
              <w:rPr>
                <w:rFonts w:hint="eastAsia" w:ascii="等线" w:hAnsi="等线" w:eastAsia="等线" w:cs="等线"/>
                <w:i w:val="0"/>
                <w:iCs w:val="0"/>
                <w:color w:val="000000"/>
                <w:sz w:val="18"/>
                <w:szCs w:val="18"/>
                <w:u w:val="none"/>
              </w:rPr>
            </w:pPr>
          </w:p>
        </w:tc>
        <w:tc>
          <w:tcPr>
            <w:tcW w:w="332" w:type="pct"/>
            <w:tcBorders>
              <w:top w:val="single" w:color="000000" w:sz="4" w:space="0"/>
              <w:left w:val="single" w:color="000000" w:sz="4" w:space="0"/>
              <w:bottom w:val="single" w:color="000000" w:sz="4" w:space="0"/>
              <w:right w:val="single" w:color="000000" w:sz="4" w:space="0"/>
            </w:tcBorders>
            <w:shd w:val="clear"/>
            <w:noWrap/>
            <w:vAlign w:val="bottom"/>
          </w:tcPr>
          <w:p w14:paraId="6C339E0F">
            <w:pPr>
              <w:rPr>
                <w:rFonts w:hint="eastAsia" w:ascii="等线" w:hAnsi="等线" w:eastAsia="等线" w:cs="等线"/>
                <w:i w:val="0"/>
                <w:iCs w:val="0"/>
                <w:color w:val="000000"/>
                <w:sz w:val="18"/>
                <w:szCs w:val="18"/>
                <w:u w:val="none"/>
              </w:rPr>
            </w:pPr>
          </w:p>
        </w:tc>
        <w:tc>
          <w:tcPr>
            <w:tcW w:w="475" w:type="pct"/>
            <w:tcBorders>
              <w:top w:val="single" w:color="000000" w:sz="4" w:space="0"/>
              <w:left w:val="single" w:color="000000" w:sz="4" w:space="0"/>
              <w:bottom w:val="single" w:color="000000" w:sz="4" w:space="0"/>
              <w:right w:val="single" w:color="000000" w:sz="4" w:space="0"/>
            </w:tcBorders>
            <w:shd w:val="clear"/>
            <w:noWrap/>
            <w:vAlign w:val="bottom"/>
          </w:tcPr>
          <w:p w14:paraId="7348D413">
            <w:pPr>
              <w:rPr>
                <w:rFonts w:hint="eastAsia" w:ascii="等线" w:hAnsi="等线" w:eastAsia="等线" w:cs="等线"/>
                <w:i w:val="0"/>
                <w:iCs w:val="0"/>
                <w:color w:val="000000"/>
                <w:sz w:val="18"/>
                <w:szCs w:val="18"/>
                <w:u w:val="none"/>
              </w:rPr>
            </w:pPr>
          </w:p>
        </w:tc>
      </w:tr>
      <w:tr w14:paraId="13524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208" w:type="pct"/>
            <w:tcBorders>
              <w:top w:val="single" w:color="000000" w:sz="4" w:space="0"/>
              <w:left w:val="single" w:color="000000" w:sz="4" w:space="0"/>
              <w:bottom w:val="single" w:color="000000" w:sz="4" w:space="0"/>
              <w:right w:val="single" w:color="000000" w:sz="4" w:space="0"/>
            </w:tcBorders>
            <w:shd w:val="clear"/>
            <w:noWrap/>
            <w:vAlign w:val="center"/>
          </w:tcPr>
          <w:p w14:paraId="0DD6B925">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4</w:t>
            </w:r>
          </w:p>
        </w:tc>
        <w:tc>
          <w:tcPr>
            <w:tcW w:w="385" w:type="pct"/>
            <w:tcBorders>
              <w:top w:val="single" w:color="000000" w:sz="4" w:space="0"/>
              <w:left w:val="single" w:color="000000" w:sz="4" w:space="0"/>
              <w:bottom w:val="single" w:color="000000" w:sz="4" w:space="0"/>
              <w:right w:val="single" w:color="000000" w:sz="4" w:space="0"/>
            </w:tcBorders>
            <w:shd w:val="clear"/>
            <w:noWrap/>
            <w:vAlign w:val="center"/>
          </w:tcPr>
          <w:p w14:paraId="557868DB">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萨如拉街道办事处</w:t>
            </w:r>
          </w:p>
        </w:tc>
        <w:tc>
          <w:tcPr>
            <w:tcW w:w="384" w:type="pct"/>
            <w:tcBorders>
              <w:top w:val="single" w:color="000000" w:sz="4" w:space="0"/>
              <w:left w:val="single" w:color="000000" w:sz="4" w:space="0"/>
              <w:bottom w:val="single" w:color="000000" w:sz="4" w:space="0"/>
              <w:right w:val="single" w:color="000000" w:sz="4" w:space="0"/>
            </w:tcBorders>
            <w:shd w:val="clear"/>
            <w:noWrap/>
            <w:vAlign w:val="center"/>
          </w:tcPr>
          <w:p w14:paraId="418B789F">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350000</w:t>
            </w:r>
          </w:p>
        </w:tc>
        <w:tc>
          <w:tcPr>
            <w:tcW w:w="349" w:type="pct"/>
            <w:tcBorders>
              <w:top w:val="single" w:color="000000" w:sz="4" w:space="0"/>
              <w:left w:val="single" w:color="000000" w:sz="4" w:space="0"/>
              <w:bottom w:val="single" w:color="000000" w:sz="4" w:space="0"/>
              <w:right w:val="single" w:color="000000" w:sz="4" w:space="0"/>
            </w:tcBorders>
            <w:shd w:val="clear"/>
            <w:noWrap/>
            <w:vAlign w:val="center"/>
          </w:tcPr>
          <w:p w14:paraId="57C6BA9D">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10197</w:t>
            </w:r>
          </w:p>
        </w:tc>
        <w:tc>
          <w:tcPr>
            <w:tcW w:w="331" w:type="pct"/>
            <w:tcBorders>
              <w:top w:val="single" w:color="000000" w:sz="4" w:space="0"/>
              <w:left w:val="single" w:color="000000" w:sz="4" w:space="0"/>
              <w:bottom w:val="single" w:color="000000" w:sz="4" w:space="0"/>
              <w:right w:val="single" w:color="000000" w:sz="4" w:space="0"/>
            </w:tcBorders>
            <w:shd w:val="clear"/>
            <w:noWrap/>
            <w:vAlign w:val="center"/>
          </w:tcPr>
          <w:p w14:paraId="644CE808">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6000</w:t>
            </w:r>
          </w:p>
        </w:tc>
        <w:tc>
          <w:tcPr>
            <w:tcW w:w="384" w:type="pct"/>
            <w:tcBorders>
              <w:top w:val="single" w:color="000000" w:sz="4" w:space="0"/>
              <w:left w:val="single" w:color="000000" w:sz="4" w:space="0"/>
              <w:bottom w:val="single" w:color="000000" w:sz="4" w:space="0"/>
              <w:right w:val="single" w:color="000000" w:sz="4" w:space="0"/>
            </w:tcBorders>
            <w:shd w:val="clear"/>
            <w:noWrap/>
            <w:vAlign w:val="center"/>
          </w:tcPr>
          <w:p w14:paraId="528C8609">
            <w:pPr>
              <w:jc w:val="center"/>
              <w:rPr>
                <w:rFonts w:hint="eastAsia" w:ascii="等线" w:hAnsi="等线" w:eastAsia="等线" w:cs="等线"/>
                <w:i w:val="0"/>
                <w:iCs w:val="0"/>
                <w:color w:val="000000"/>
                <w:sz w:val="18"/>
                <w:szCs w:val="18"/>
                <w:u w:val="none"/>
              </w:rPr>
            </w:pPr>
          </w:p>
        </w:tc>
        <w:tc>
          <w:tcPr>
            <w:tcW w:w="353" w:type="pct"/>
            <w:tcBorders>
              <w:top w:val="single" w:color="000000" w:sz="4" w:space="0"/>
              <w:left w:val="single" w:color="000000" w:sz="4" w:space="0"/>
              <w:bottom w:val="single" w:color="000000" w:sz="4" w:space="0"/>
              <w:right w:val="single" w:color="000000" w:sz="4" w:space="0"/>
            </w:tcBorders>
            <w:shd w:val="clear"/>
            <w:noWrap/>
            <w:vAlign w:val="center"/>
          </w:tcPr>
          <w:p w14:paraId="0CB5987E">
            <w:pPr>
              <w:jc w:val="center"/>
              <w:rPr>
                <w:rFonts w:hint="eastAsia" w:ascii="等线" w:hAnsi="等线" w:eastAsia="等线" w:cs="等线"/>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noWrap/>
            <w:vAlign w:val="center"/>
          </w:tcPr>
          <w:p w14:paraId="5C0D9777">
            <w:pPr>
              <w:jc w:val="center"/>
              <w:rPr>
                <w:rFonts w:hint="eastAsia" w:ascii="等线" w:hAnsi="等线" w:eastAsia="等线" w:cs="等线"/>
                <w:i w:val="0"/>
                <w:iCs w:val="0"/>
                <w:color w:val="000000"/>
                <w:sz w:val="18"/>
                <w:szCs w:val="18"/>
                <w:u w:val="none"/>
              </w:rPr>
            </w:pPr>
          </w:p>
        </w:tc>
        <w:tc>
          <w:tcPr>
            <w:tcW w:w="279" w:type="pct"/>
            <w:tcBorders>
              <w:top w:val="single" w:color="000000" w:sz="4" w:space="0"/>
              <w:left w:val="single" w:color="000000" w:sz="4" w:space="0"/>
              <w:bottom w:val="single" w:color="000000" w:sz="4" w:space="0"/>
              <w:right w:val="single" w:color="000000" w:sz="4" w:space="0"/>
            </w:tcBorders>
            <w:shd w:val="clear"/>
            <w:noWrap/>
            <w:vAlign w:val="center"/>
          </w:tcPr>
          <w:p w14:paraId="48AC7EC5">
            <w:pPr>
              <w:jc w:val="center"/>
              <w:rPr>
                <w:rFonts w:hint="eastAsia" w:ascii="等线" w:hAnsi="等线" w:eastAsia="等线" w:cs="等线"/>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noWrap/>
            <w:vAlign w:val="center"/>
          </w:tcPr>
          <w:p w14:paraId="3A4E045C">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101970</w:t>
            </w:r>
          </w:p>
        </w:tc>
        <w:tc>
          <w:tcPr>
            <w:tcW w:w="436" w:type="pct"/>
            <w:tcBorders>
              <w:top w:val="single" w:color="000000" w:sz="4" w:space="0"/>
              <w:left w:val="single" w:color="000000" w:sz="4" w:space="0"/>
              <w:bottom w:val="single" w:color="000000" w:sz="4" w:space="0"/>
              <w:right w:val="single" w:color="000000" w:sz="4" w:space="0"/>
            </w:tcBorders>
            <w:shd w:val="clear"/>
            <w:noWrap/>
            <w:vAlign w:val="center"/>
          </w:tcPr>
          <w:p w14:paraId="7AB5EDA4">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30000</w:t>
            </w:r>
          </w:p>
        </w:tc>
        <w:tc>
          <w:tcPr>
            <w:tcW w:w="327" w:type="pct"/>
            <w:tcBorders>
              <w:top w:val="single" w:color="000000" w:sz="4" w:space="0"/>
              <w:left w:val="single" w:color="000000" w:sz="4" w:space="0"/>
              <w:bottom w:val="single" w:color="000000" w:sz="4" w:space="0"/>
              <w:right w:val="single" w:color="000000" w:sz="4" w:space="0"/>
            </w:tcBorders>
            <w:shd w:val="clear"/>
            <w:noWrap/>
            <w:vAlign w:val="center"/>
          </w:tcPr>
          <w:p w14:paraId="6BDEC796">
            <w:pPr>
              <w:jc w:val="center"/>
              <w:rPr>
                <w:rFonts w:hint="eastAsia" w:ascii="等线" w:hAnsi="等线" w:eastAsia="等线" w:cs="等线"/>
                <w:i w:val="0"/>
                <w:iCs w:val="0"/>
                <w:color w:val="000000"/>
                <w:sz w:val="18"/>
                <w:szCs w:val="18"/>
                <w:u w:val="none"/>
              </w:rPr>
            </w:pPr>
          </w:p>
        </w:tc>
        <w:tc>
          <w:tcPr>
            <w:tcW w:w="332" w:type="pct"/>
            <w:tcBorders>
              <w:top w:val="single" w:color="000000" w:sz="4" w:space="0"/>
              <w:left w:val="single" w:color="000000" w:sz="4" w:space="0"/>
              <w:bottom w:val="single" w:color="000000" w:sz="4" w:space="0"/>
              <w:right w:val="single" w:color="000000" w:sz="4" w:space="0"/>
            </w:tcBorders>
            <w:shd w:val="clear"/>
            <w:noWrap/>
            <w:vAlign w:val="bottom"/>
          </w:tcPr>
          <w:p w14:paraId="42A7277B">
            <w:pPr>
              <w:jc w:val="center"/>
              <w:rPr>
                <w:rFonts w:hint="eastAsia" w:ascii="等线" w:hAnsi="等线" w:eastAsia="等线" w:cs="等线"/>
                <w:i w:val="0"/>
                <w:iCs w:val="0"/>
                <w:color w:val="000000"/>
                <w:sz w:val="18"/>
                <w:szCs w:val="18"/>
                <w:u w:val="none"/>
              </w:rPr>
            </w:pPr>
          </w:p>
        </w:tc>
        <w:tc>
          <w:tcPr>
            <w:tcW w:w="475" w:type="pct"/>
            <w:tcBorders>
              <w:top w:val="single" w:color="000000" w:sz="4" w:space="0"/>
              <w:left w:val="single" w:color="000000" w:sz="4" w:space="0"/>
              <w:bottom w:val="single" w:color="000000" w:sz="4" w:space="0"/>
              <w:right w:val="single" w:color="000000" w:sz="4" w:space="0"/>
            </w:tcBorders>
            <w:shd w:val="clear"/>
            <w:vAlign w:val="center"/>
          </w:tcPr>
          <w:p w14:paraId="1C5E9B68">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含补植补造费用及乡村绿化美化重点村</w:t>
            </w:r>
          </w:p>
        </w:tc>
      </w:tr>
      <w:tr w14:paraId="1BFDA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208" w:type="pct"/>
            <w:tcBorders>
              <w:top w:val="single" w:color="000000" w:sz="4" w:space="0"/>
              <w:left w:val="single" w:color="000000" w:sz="4" w:space="0"/>
              <w:bottom w:val="single" w:color="000000" w:sz="4" w:space="0"/>
              <w:right w:val="single" w:color="000000" w:sz="4" w:space="0"/>
            </w:tcBorders>
            <w:shd w:val="clear"/>
            <w:noWrap/>
            <w:vAlign w:val="center"/>
          </w:tcPr>
          <w:p w14:paraId="76C81B42">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5</w:t>
            </w:r>
          </w:p>
        </w:tc>
        <w:tc>
          <w:tcPr>
            <w:tcW w:w="385" w:type="pct"/>
            <w:tcBorders>
              <w:top w:val="single" w:color="000000" w:sz="4" w:space="0"/>
              <w:left w:val="single" w:color="000000" w:sz="4" w:space="0"/>
              <w:bottom w:val="single" w:color="000000" w:sz="4" w:space="0"/>
              <w:right w:val="single" w:color="000000" w:sz="4" w:space="0"/>
            </w:tcBorders>
            <w:shd w:val="clear"/>
            <w:noWrap/>
            <w:vAlign w:val="center"/>
          </w:tcPr>
          <w:p w14:paraId="06D7FF52">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阿嘎如泰苏木</w:t>
            </w:r>
          </w:p>
        </w:tc>
        <w:tc>
          <w:tcPr>
            <w:tcW w:w="384" w:type="pct"/>
            <w:tcBorders>
              <w:top w:val="single" w:color="000000" w:sz="4" w:space="0"/>
              <w:left w:val="single" w:color="000000" w:sz="4" w:space="0"/>
              <w:bottom w:val="single" w:color="000000" w:sz="4" w:space="0"/>
              <w:right w:val="single" w:color="000000" w:sz="4" w:space="0"/>
            </w:tcBorders>
            <w:shd w:val="clear"/>
            <w:noWrap/>
            <w:vAlign w:val="center"/>
          </w:tcPr>
          <w:p w14:paraId="79DA4FE0">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1267190</w:t>
            </w:r>
          </w:p>
        </w:tc>
        <w:tc>
          <w:tcPr>
            <w:tcW w:w="349" w:type="pct"/>
            <w:tcBorders>
              <w:top w:val="single" w:color="000000" w:sz="4" w:space="0"/>
              <w:left w:val="single" w:color="000000" w:sz="4" w:space="0"/>
              <w:bottom w:val="single" w:color="000000" w:sz="4" w:space="0"/>
              <w:right w:val="single" w:color="000000" w:sz="4" w:space="0"/>
            </w:tcBorders>
            <w:shd w:val="clear"/>
            <w:noWrap/>
            <w:vAlign w:val="center"/>
          </w:tcPr>
          <w:p w14:paraId="41A8A749">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126719</w:t>
            </w:r>
          </w:p>
        </w:tc>
        <w:tc>
          <w:tcPr>
            <w:tcW w:w="331" w:type="pct"/>
            <w:tcBorders>
              <w:top w:val="single" w:color="000000" w:sz="4" w:space="0"/>
              <w:left w:val="single" w:color="000000" w:sz="4" w:space="0"/>
              <w:bottom w:val="single" w:color="000000" w:sz="4" w:space="0"/>
              <w:right w:val="single" w:color="000000" w:sz="4" w:space="0"/>
            </w:tcBorders>
            <w:shd w:val="clear"/>
            <w:noWrap/>
            <w:vAlign w:val="center"/>
          </w:tcPr>
          <w:p w14:paraId="6ABC3F6E">
            <w:pPr>
              <w:jc w:val="center"/>
              <w:rPr>
                <w:rFonts w:hint="eastAsia" w:ascii="等线" w:hAnsi="等线" w:eastAsia="等线" w:cs="等线"/>
                <w:i w:val="0"/>
                <w:iCs w:val="0"/>
                <w:color w:val="000000"/>
                <w:sz w:val="18"/>
                <w:szCs w:val="18"/>
                <w:u w:val="none"/>
              </w:rPr>
            </w:pPr>
          </w:p>
        </w:tc>
        <w:tc>
          <w:tcPr>
            <w:tcW w:w="384" w:type="pct"/>
            <w:tcBorders>
              <w:top w:val="single" w:color="000000" w:sz="4" w:space="0"/>
              <w:left w:val="single" w:color="000000" w:sz="4" w:space="0"/>
              <w:bottom w:val="single" w:color="000000" w:sz="4" w:space="0"/>
              <w:right w:val="single" w:color="000000" w:sz="4" w:space="0"/>
            </w:tcBorders>
            <w:shd w:val="clear"/>
            <w:noWrap/>
            <w:vAlign w:val="center"/>
          </w:tcPr>
          <w:p w14:paraId="427CA7C8">
            <w:pPr>
              <w:jc w:val="center"/>
              <w:rPr>
                <w:rFonts w:hint="eastAsia" w:ascii="等线" w:hAnsi="等线" w:eastAsia="等线" w:cs="等线"/>
                <w:i w:val="0"/>
                <w:iCs w:val="0"/>
                <w:color w:val="000000"/>
                <w:sz w:val="18"/>
                <w:szCs w:val="18"/>
                <w:u w:val="none"/>
              </w:rPr>
            </w:pPr>
          </w:p>
        </w:tc>
        <w:tc>
          <w:tcPr>
            <w:tcW w:w="353" w:type="pct"/>
            <w:tcBorders>
              <w:top w:val="single" w:color="000000" w:sz="4" w:space="0"/>
              <w:left w:val="single" w:color="000000" w:sz="4" w:space="0"/>
              <w:bottom w:val="single" w:color="000000" w:sz="4" w:space="0"/>
              <w:right w:val="single" w:color="000000" w:sz="4" w:space="0"/>
            </w:tcBorders>
            <w:shd w:val="clear"/>
            <w:noWrap/>
            <w:vAlign w:val="center"/>
          </w:tcPr>
          <w:p w14:paraId="1A797CB3">
            <w:pPr>
              <w:jc w:val="center"/>
              <w:rPr>
                <w:rFonts w:hint="eastAsia" w:ascii="等线" w:hAnsi="等线" w:eastAsia="等线" w:cs="等线"/>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noWrap/>
            <w:vAlign w:val="center"/>
          </w:tcPr>
          <w:p w14:paraId="3EE73971">
            <w:pPr>
              <w:jc w:val="center"/>
              <w:rPr>
                <w:rFonts w:hint="eastAsia" w:ascii="等线" w:hAnsi="等线" w:eastAsia="等线" w:cs="等线"/>
                <w:i w:val="0"/>
                <w:iCs w:val="0"/>
                <w:color w:val="000000"/>
                <w:sz w:val="18"/>
                <w:szCs w:val="18"/>
                <w:u w:val="none"/>
              </w:rPr>
            </w:pPr>
          </w:p>
        </w:tc>
        <w:tc>
          <w:tcPr>
            <w:tcW w:w="279" w:type="pct"/>
            <w:tcBorders>
              <w:top w:val="single" w:color="000000" w:sz="4" w:space="0"/>
              <w:left w:val="single" w:color="000000" w:sz="4" w:space="0"/>
              <w:bottom w:val="single" w:color="000000" w:sz="4" w:space="0"/>
              <w:right w:val="single" w:color="000000" w:sz="4" w:space="0"/>
            </w:tcBorders>
            <w:shd w:val="clear"/>
            <w:noWrap/>
            <w:vAlign w:val="center"/>
          </w:tcPr>
          <w:p w14:paraId="614AC098">
            <w:pPr>
              <w:jc w:val="center"/>
              <w:rPr>
                <w:rFonts w:hint="eastAsia" w:ascii="等线" w:hAnsi="等线" w:eastAsia="等线" w:cs="等线"/>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noWrap/>
            <w:vAlign w:val="center"/>
          </w:tcPr>
          <w:p w14:paraId="363E3BB4">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1267190</w:t>
            </w:r>
          </w:p>
        </w:tc>
        <w:tc>
          <w:tcPr>
            <w:tcW w:w="436" w:type="pct"/>
            <w:tcBorders>
              <w:top w:val="single" w:color="000000" w:sz="4" w:space="0"/>
              <w:left w:val="single" w:color="000000" w:sz="4" w:space="0"/>
              <w:bottom w:val="single" w:color="000000" w:sz="4" w:space="0"/>
              <w:right w:val="single" w:color="000000" w:sz="4" w:space="0"/>
            </w:tcBorders>
            <w:shd w:val="clear"/>
            <w:noWrap/>
            <w:vAlign w:val="center"/>
          </w:tcPr>
          <w:p w14:paraId="40F1A4FD">
            <w:pPr>
              <w:jc w:val="center"/>
              <w:rPr>
                <w:rFonts w:hint="eastAsia" w:ascii="等线" w:hAnsi="等线" w:eastAsia="等线" w:cs="等线"/>
                <w:i w:val="0"/>
                <w:iCs w:val="0"/>
                <w:color w:val="000000"/>
                <w:sz w:val="18"/>
                <w:szCs w:val="18"/>
                <w:u w:val="none"/>
              </w:rPr>
            </w:pPr>
          </w:p>
        </w:tc>
        <w:tc>
          <w:tcPr>
            <w:tcW w:w="327" w:type="pct"/>
            <w:tcBorders>
              <w:top w:val="single" w:color="000000" w:sz="4" w:space="0"/>
              <w:left w:val="single" w:color="000000" w:sz="4" w:space="0"/>
              <w:bottom w:val="single" w:color="000000" w:sz="4" w:space="0"/>
              <w:right w:val="single" w:color="000000" w:sz="4" w:space="0"/>
            </w:tcBorders>
            <w:shd w:val="clear"/>
            <w:noWrap/>
            <w:vAlign w:val="center"/>
          </w:tcPr>
          <w:p w14:paraId="307D60D9">
            <w:pPr>
              <w:jc w:val="center"/>
              <w:rPr>
                <w:rFonts w:hint="eastAsia" w:ascii="等线" w:hAnsi="等线" w:eastAsia="等线" w:cs="等线"/>
                <w:i w:val="0"/>
                <w:iCs w:val="0"/>
                <w:color w:val="000000"/>
                <w:sz w:val="18"/>
                <w:szCs w:val="18"/>
                <w:u w:val="none"/>
              </w:rPr>
            </w:pPr>
          </w:p>
        </w:tc>
        <w:tc>
          <w:tcPr>
            <w:tcW w:w="332" w:type="pct"/>
            <w:tcBorders>
              <w:top w:val="single" w:color="000000" w:sz="4" w:space="0"/>
              <w:left w:val="single" w:color="000000" w:sz="4" w:space="0"/>
              <w:bottom w:val="single" w:color="000000" w:sz="4" w:space="0"/>
              <w:right w:val="single" w:color="000000" w:sz="4" w:space="0"/>
            </w:tcBorders>
            <w:shd w:val="clear"/>
            <w:noWrap/>
            <w:vAlign w:val="bottom"/>
          </w:tcPr>
          <w:p w14:paraId="2D3C9396">
            <w:pPr>
              <w:rPr>
                <w:rFonts w:hint="eastAsia" w:ascii="等线" w:hAnsi="等线" w:eastAsia="等线" w:cs="等线"/>
                <w:i w:val="0"/>
                <w:iCs w:val="0"/>
                <w:color w:val="000000"/>
                <w:sz w:val="18"/>
                <w:szCs w:val="18"/>
                <w:u w:val="none"/>
              </w:rPr>
            </w:pPr>
          </w:p>
        </w:tc>
        <w:tc>
          <w:tcPr>
            <w:tcW w:w="475" w:type="pct"/>
            <w:tcBorders>
              <w:top w:val="single" w:color="000000" w:sz="4" w:space="0"/>
              <w:left w:val="single" w:color="000000" w:sz="4" w:space="0"/>
              <w:bottom w:val="single" w:color="000000" w:sz="4" w:space="0"/>
              <w:right w:val="single" w:color="000000" w:sz="4" w:space="0"/>
            </w:tcBorders>
            <w:shd w:val="clear"/>
            <w:noWrap/>
            <w:vAlign w:val="bottom"/>
          </w:tcPr>
          <w:p w14:paraId="285BE5A2">
            <w:pPr>
              <w:rPr>
                <w:rFonts w:hint="eastAsia" w:ascii="等线" w:hAnsi="等线" w:eastAsia="等线" w:cs="等线"/>
                <w:i w:val="0"/>
                <w:iCs w:val="0"/>
                <w:color w:val="000000"/>
                <w:sz w:val="18"/>
                <w:szCs w:val="18"/>
                <w:u w:val="none"/>
              </w:rPr>
            </w:pPr>
          </w:p>
        </w:tc>
      </w:tr>
      <w:tr w14:paraId="0B1F6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208" w:type="pct"/>
            <w:tcBorders>
              <w:top w:val="single" w:color="000000" w:sz="4" w:space="0"/>
              <w:left w:val="single" w:color="000000" w:sz="4" w:space="0"/>
              <w:bottom w:val="single" w:color="000000" w:sz="4" w:space="0"/>
              <w:right w:val="single" w:color="000000" w:sz="4" w:space="0"/>
            </w:tcBorders>
            <w:shd w:val="clear"/>
            <w:noWrap/>
            <w:vAlign w:val="center"/>
          </w:tcPr>
          <w:p w14:paraId="41B879C1">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6</w:t>
            </w:r>
          </w:p>
        </w:tc>
        <w:tc>
          <w:tcPr>
            <w:tcW w:w="385" w:type="pct"/>
            <w:tcBorders>
              <w:top w:val="single" w:color="000000" w:sz="4" w:space="0"/>
              <w:left w:val="single" w:color="000000" w:sz="4" w:space="0"/>
              <w:bottom w:val="single" w:color="000000" w:sz="4" w:space="0"/>
              <w:right w:val="single" w:color="000000" w:sz="4" w:space="0"/>
            </w:tcBorders>
            <w:shd w:val="clear"/>
            <w:noWrap/>
            <w:vAlign w:val="center"/>
          </w:tcPr>
          <w:p w14:paraId="7BF86C13">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九原区国有林场</w:t>
            </w:r>
          </w:p>
        </w:tc>
        <w:tc>
          <w:tcPr>
            <w:tcW w:w="384" w:type="pct"/>
            <w:tcBorders>
              <w:top w:val="single" w:color="000000" w:sz="4" w:space="0"/>
              <w:left w:val="single" w:color="000000" w:sz="4" w:space="0"/>
              <w:bottom w:val="single" w:color="000000" w:sz="4" w:space="0"/>
              <w:right w:val="single" w:color="000000" w:sz="4" w:space="0"/>
            </w:tcBorders>
            <w:shd w:val="clear"/>
            <w:noWrap/>
            <w:vAlign w:val="center"/>
          </w:tcPr>
          <w:p w14:paraId="5E36DB54">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295950</w:t>
            </w:r>
          </w:p>
        </w:tc>
        <w:tc>
          <w:tcPr>
            <w:tcW w:w="349" w:type="pct"/>
            <w:tcBorders>
              <w:top w:val="single" w:color="000000" w:sz="4" w:space="0"/>
              <w:left w:val="single" w:color="000000" w:sz="4" w:space="0"/>
              <w:bottom w:val="single" w:color="000000" w:sz="4" w:space="0"/>
              <w:right w:val="single" w:color="000000" w:sz="4" w:space="0"/>
            </w:tcBorders>
            <w:shd w:val="clear"/>
            <w:noWrap/>
            <w:vAlign w:val="center"/>
          </w:tcPr>
          <w:p w14:paraId="30CE8B03">
            <w:pPr>
              <w:jc w:val="center"/>
              <w:rPr>
                <w:rFonts w:hint="eastAsia" w:ascii="等线" w:hAnsi="等线" w:eastAsia="等线" w:cs="等线"/>
                <w:i w:val="0"/>
                <w:iCs w:val="0"/>
                <w:color w:val="000000"/>
                <w:sz w:val="18"/>
                <w:szCs w:val="18"/>
                <w:u w:val="none"/>
              </w:rPr>
            </w:pPr>
          </w:p>
        </w:tc>
        <w:tc>
          <w:tcPr>
            <w:tcW w:w="331" w:type="pct"/>
            <w:tcBorders>
              <w:top w:val="single" w:color="000000" w:sz="4" w:space="0"/>
              <w:left w:val="single" w:color="000000" w:sz="4" w:space="0"/>
              <w:bottom w:val="single" w:color="000000" w:sz="4" w:space="0"/>
              <w:right w:val="single" w:color="000000" w:sz="4" w:space="0"/>
            </w:tcBorders>
            <w:shd w:val="clear"/>
            <w:noWrap/>
            <w:vAlign w:val="center"/>
          </w:tcPr>
          <w:p w14:paraId="5E99C87E">
            <w:pPr>
              <w:jc w:val="center"/>
              <w:rPr>
                <w:rFonts w:hint="eastAsia" w:ascii="等线" w:hAnsi="等线" w:eastAsia="等线" w:cs="等线"/>
                <w:i w:val="0"/>
                <w:iCs w:val="0"/>
                <w:color w:val="000000"/>
                <w:sz w:val="18"/>
                <w:szCs w:val="18"/>
                <w:u w:val="none"/>
              </w:rPr>
            </w:pPr>
          </w:p>
        </w:tc>
        <w:tc>
          <w:tcPr>
            <w:tcW w:w="384" w:type="pct"/>
            <w:tcBorders>
              <w:top w:val="single" w:color="000000" w:sz="4" w:space="0"/>
              <w:left w:val="single" w:color="000000" w:sz="4" w:space="0"/>
              <w:bottom w:val="single" w:color="000000" w:sz="4" w:space="0"/>
              <w:right w:val="single" w:color="000000" w:sz="4" w:space="0"/>
            </w:tcBorders>
            <w:shd w:val="clear"/>
            <w:noWrap/>
            <w:vAlign w:val="center"/>
          </w:tcPr>
          <w:p w14:paraId="29D9998D">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20595</w:t>
            </w:r>
          </w:p>
        </w:tc>
        <w:tc>
          <w:tcPr>
            <w:tcW w:w="353" w:type="pct"/>
            <w:tcBorders>
              <w:top w:val="single" w:color="000000" w:sz="4" w:space="0"/>
              <w:left w:val="single" w:color="000000" w:sz="4" w:space="0"/>
              <w:bottom w:val="single" w:color="000000" w:sz="4" w:space="0"/>
              <w:right w:val="single" w:color="000000" w:sz="4" w:space="0"/>
            </w:tcBorders>
            <w:shd w:val="clear"/>
            <w:noWrap/>
            <w:vAlign w:val="center"/>
          </w:tcPr>
          <w:p w14:paraId="4346CCC7">
            <w:pPr>
              <w:jc w:val="center"/>
              <w:rPr>
                <w:rFonts w:hint="eastAsia" w:ascii="等线" w:hAnsi="等线" w:eastAsia="等线" w:cs="等线"/>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noWrap/>
            <w:vAlign w:val="center"/>
          </w:tcPr>
          <w:p w14:paraId="3BAF8188">
            <w:pPr>
              <w:jc w:val="center"/>
              <w:rPr>
                <w:rFonts w:hint="eastAsia" w:ascii="等线" w:hAnsi="等线" w:eastAsia="等线" w:cs="等线"/>
                <w:i w:val="0"/>
                <w:iCs w:val="0"/>
                <w:color w:val="000000"/>
                <w:sz w:val="18"/>
                <w:szCs w:val="18"/>
                <w:u w:val="none"/>
              </w:rPr>
            </w:pPr>
          </w:p>
        </w:tc>
        <w:tc>
          <w:tcPr>
            <w:tcW w:w="279" w:type="pct"/>
            <w:tcBorders>
              <w:top w:val="single" w:color="000000" w:sz="4" w:space="0"/>
              <w:left w:val="single" w:color="000000" w:sz="4" w:space="0"/>
              <w:bottom w:val="single" w:color="000000" w:sz="4" w:space="0"/>
              <w:right w:val="single" w:color="000000" w:sz="4" w:space="0"/>
            </w:tcBorders>
            <w:shd w:val="clear"/>
            <w:noWrap/>
            <w:vAlign w:val="center"/>
          </w:tcPr>
          <w:p w14:paraId="30C55727">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600</w:t>
            </w:r>
          </w:p>
        </w:tc>
        <w:tc>
          <w:tcPr>
            <w:tcW w:w="432" w:type="pct"/>
            <w:tcBorders>
              <w:top w:val="single" w:color="000000" w:sz="4" w:space="0"/>
              <w:left w:val="single" w:color="000000" w:sz="4" w:space="0"/>
              <w:bottom w:val="single" w:color="000000" w:sz="4" w:space="0"/>
              <w:right w:val="single" w:color="000000" w:sz="4" w:space="0"/>
            </w:tcBorders>
            <w:shd w:val="clear"/>
            <w:noWrap/>
            <w:vAlign w:val="center"/>
          </w:tcPr>
          <w:p w14:paraId="1968DA27">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205950</w:t>
            </w:r>
          </w:p>
        </w:tc>
        <w:tc>
          <w:tcPr>
            <w:tcW w:w="436" w:type="pct"/>
            <w:tcBorders>
              <w:top w:val="single" w:color="000000" w:sz="4" w:space="0"/>
              <w:left w:val="single" w:color="000000" w:sz="4" w:space="0"/>
              <w:bottom w:val="single" w:color="000000" w:sz="4" w:space="0"/>
              <w:right w:val="single" w:color="000000" w:sz="4" w:space="0"/>
            </w:tcBorders>
            <w:shd w:val="clear"/>
            <w:noWrap/>
            <w:vAlign w:val="center"/>
          </w:tcPr>
          <w:p w14:paraId="2F4AF70D">
            <w:pPr>
              <w:jc w:val="center"/>
              <w:rPr>
                <w:rFonts w:hint="eastAsia" w:ascii="等线" w:hAnsi="等线" w:eastAsia="等线" w:cs="等线"/>
                <w:i w:val="0"/>
                <w:iCs w:val="0"/>
                <w:color w:val="000000"/>
                <w:sz w:val="18"/>
                <w:szCs w:val="18"/>
                <w:u w:val="none"/>
              </w:rPr>
            </w:pPr>
          </w:p>
        </w:tc>
        <w:tc>
          <w:tcPr>
            <w:tcW w:w="327" w:type="pct"/>
            <w:tcBorders>
              <w:top w:val="single" w:color="000000" w:sz="4" w:space="0"/>
              <w:left w:val="single" w:color="000000" w:sz="4" w:space="0"/>
              <w:bottom w:val="single" w:color="000000" w:sz="4" w:space="0"/>
              <w:right w:val="single" w:color="000000" w:sz="4" w:space="0"/>
            </w:tcBorders>
            <w:shd w:val="clear"/>
            <w:noWrap/>
            <w:vAlign w:val="center"/>
          </w:tcPr>
          <w:p w14:paraId="546933CB">
            <w:pPr>
              <w:jc w:val="center"/>
              <w:rPr>
                <w:rFonts w:hint="eastAsia" w:ascii="等线" w:hAnsi="等线" w:eastAsia="等线" w:cs="等线"/>
                <w:i w:val="0"/>
                <w:iCs w:val="0"/>
                <w:color w:val="000000"/>
                <w:sz w:val="18"/>
                <w:szCs w:val="18"/>
                <w:u w:val="none"/>
              </w:rPr>
            </w:pPr>
          </w:p>
        </w:tc>
        <w:tc>
          <w:tcPr>
            <w:tcW w:w="332" w:type="pct"/>
            <w:tcBorders>
              <w:top w:val="single" w:color="000000" w:sz="4" w:space="0"/>
              <w:left w:val="single" w:color="000000" w:sz="4" w:space="0"/>
              <w:bottom w:val="single" w:color="000000" w:sz="4" w:space="0"/>
              <w:right w:val="single" w:color="000000" w:sz="4" w:space="0"/>
            </w:tcBorders>
            <w:shd w:val="clear"/>
            <w:vAlign w:val="center"/>
          </w:tcPr>
          <w:p w14:paraId="35C9CFA0">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90000</w:t>
            </w:r>
          </w:p>
        </w:tc>
        <w:tc>
          <w:tcPr>
            <w:tcW w:w="475" w:type="pct"/>
            <w:tcBorders>
              <w:top w:val="single" w:color="000000" w:sz="4" w:space="0"/>
              <w:left w:val="single" w:color="000000" w:sz="4" w:space="0"/>
              <w:bottom w:val="single" w:color="000000" w:sz="4" w:space="0"/>
              <w:right w:val="single" w:color="000000" w:sz="4" w:space="0"/>
            </w:tcBorders>
            <w:shd w:val="clear"/>
            <w:vAlign w:val="center"/>
          </w:tcPr>
          <w:p w14:paraId="10110140">
            <w:pPr>
              <w:rPr>
                <w:rFonts w:hint="eastAsia" w:ascii="等线" w:hAnsi="等线" w:eastAsia="等线" w:cs="等线"/>
                <w:i w:val="0"/>
                <w:iCs w:val="0"/>
                <w:color w:val="000000"/>
                <w:sz w:val="18"/>
                <w:szCs w:val="18"/>
                <w:u w:val="none"/>
              </w:rPr>
            </w:pPr>
          </w:p>
        </w:tc>
      </w:tr>
      <w:tr w14:paraId="4BD56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208" w:type="pct"/>
            <w:tcBorders>
              <w:top w:val="single" w:color="000000" w:sz="4" w:space="0"/>
              <w:left w:val="single" w:color="000000" w:sz="4" w:space="0"/>
              <w:bottom w:val="single" w:color="000000" w:sz="4" w:space="0"/>
              <w:right w:val="single" w:color="000000" w:sz="4" w:space="0"/>
            </w:tcBorders>
            <w:shd w:val="clear"/>
            <w:noWrap/>
            <w:vAlign w:val="center"/>
          </w:tcPr>
          <w:p w14:paraId="47C88193">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7</w:t>
            </w:r>
          </w:p>
        </w:tc>
        <w:tc>
          <w:tcPr>
            <w:tcW w:w="385" w:type="pct"/>
            <w:tcBorders>
              <w:top w:val="single" w:color="000000" w:sz="4" w:space="0"/>
              <w:left w:val="single" w:color="000000" w:sz="4" w:space="0"/>
              <w:bottom w:val="single" w:color="000000" w:sz="4" w:space="0"/>
              <w:right w:val="single" w:color="000000" w:sz="4" w:space="0"/>
            </w:tcBorders>
            <w:shd w:val="clear"/>
            <w:noWrap/>
            <w:vAlign w:val="center"/>
          </w:tcPr>
          <w:p w14:paraId="657AC643">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林草局</w:t>
            </w:r>
          </w:p>
        </w:tc>
        <w:tc>
          <w:tcPr>
            <w:tcW w:w="384" w:type="pct"/>
            <w:tcBorders>
              <w:top w:val="single" w:color="000000" w:sz="4" w:space="0"/>
              <w:left w:val="single" w:color="000000" w:sz="4" w:space="0"/>
              <w:bottom w:val="single" w:color="000000" w:sz="4" w:space="0"/>
              <w:right w:val="single" w:color="000000" w:sz="4" w:space="0"/>
            </w:tcBorders>
            <w:shd w:val="clear"/>
            <w:noWrap/>
            <w:vAlign w:val="center"/>
          </w:tcPr>
          <w:p w14:paraId="62500BC2">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246860</w:t>
            </w:r>
          </w:p>
        </w:tc>
        <w:tc>
          <w:tcPr>
            <w:tcW w:w="349" w:type="pct"/>
            <w:tcBorders>
              <w:top w:val="single" w:color="000000" w:sz="4" w:space="0"/>
              <w:left w:val="single" w:color="000000" w:sz="4" w:space="0"/>
              <w:bottom w:val="single" w:color="000000" w:sz="4" w:space="0"/>
              <w:right w:val="single" w:color="000000" w:sz="4" w:space="0"/>
            </w:tcBorders>
            <w:shd w:val="clear"/>
            <w:noWrap/>
            <w:vAlign w:val="center"/>
          </w:tcPr>
          <w:p w14:paraId="789999EE">
            <w:pPr>
              <w:jc w:val="center"/>
              <w:rPr>
                <w:rFonts w:hint="eastAsia" w:ascii="等线" w:hAnsi="等线" w:eastAsia="等线" w:cs="等线"/>
                <w:i w:val="0"/>
                <w:iCs w:val="0"/>
                <w:color w:val="000000"/>
                <w:sz w:val="18"/>
                <w:szCs w:val="18"/>
                <w:u w:val="none"/>
              </w:rPr>
            </w:pPr>
          </w:p>
        </w:tc>
        <w:tc>
          <w:tcPr>
            <w:tcW w:w="331" w:type="pct"/>
            <w:tcBorders>
              <w:top w:val="single" w:color="000000" w:sz="4" w:space="0"/>
              <w:left w:val="single" w:color="000000" w:sz="4" w:space="0"/>
              <w:bottom w:val="single" w:color="000000" w:sz="4" w:space="0"/>
              <w:right w:val="single" w:color="000000" w:sz="4" w:space="0"/>
            </w:tcBorders>
            <w:shd w:val="clear"/>
            <w:noWrap/>
            <w:vAlign w:val="center"/>
          </w:tcPr>
          <w:p w14:paraId="3C0E6F57">
            <w:pPr>
              <w:jc w:val="center"/>
              <w:rPr>
                <w:rFonts w:hint="eastAsia" w:ascii="等线" w:hAnsi="等线" w:eastAsia="等线" w:cs="等线"/>
                <w:i w:val="0"/>
                <w:iCs w:val="0"/>
                <w:color w:val="000000"/>
                <w:sz w:val="18"/>
                <w:szCs w:val="18"/>
                <w:u w:val="none"/>
              </w:rPr>
            </w:pPr>
          </w:p>
        </w:tc>
        <w:tc>
          <w:tcPr>
            <w:tcW w:w="384" w:type="pct"/>
            <w:tcBorders>
              <w:top w:val="single" w:color="000000" w:sz="4" w:space="0"/>
              <w:left w:val="single" w:color="000000" w:sz="4" w:space="0"/>
              <w:bottom w:val="single" w:color="000000" w:sz="4" w:space="0"/>
              <w:right w:val="single" w:color="000000" w:sz="4" w:space="0"/>
            </w:tcBorders>
            <w:shd w:val="clear"/>
            <w:noWrap/>
            <w:vAlign w:val="center"/>
          </w:tcPr>
          <w:p w14:paraId="579BD757">
            <w:pPr>
              <w:jc w:val="center"/>
              <w:rPr>
                <w:rFonts w:hint="eastAsia" w:ascii="等线" w:hAnsi="等线" w:eastAsia="等线" w:cs="等线"/>
                <w:i w:val="0"/>
                <w:iCs w:val="0"/>
                <w:color w:val="000000"/>
                <w:sz w:val="18"/>
                <w:szCs w:val="18"/>
                <w:u w:val="none"/>
              </w:rPr>
            </w:pPr>
          </w:p>
        </w:tc>
        <w:tc>
          <w:tcPr>
            <w:tcW w:w="353" w:type="pct"/>
            <w:tcBorders>
              <w:top w:val="single" w:color="000000" w:sz="4" w:space="0"/>
              <w:left w:val="single" w:color="000000" w:sz="4" w:space="0"/>
              <w:bottom w:val="single" w:color="000000" w:sz="4" w:space="0"/>
              <w:right w:val="single" w:color="000000" w:sz="4" w:space="0"/>
            </w:tcBorders>
            <w:shd w:val="clear"/>
            <w:noWrap/>
            <w:vAlign w:val="center"/>
          </w:tcPr>
          <w:p w14:paraId="6981E594">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24686</w:t>
            </w:r>
          </w:p>
        </w:tc>
        <w:tc>
          <w:tcPr>
            <w:tcW w:w="318" w:type="pct"/>
            <w:tcBorders>
              <w:top w:val="single" w:color="000000" w:sz="4" w:space="0"/>
              <w:left w:val="single" w:color="000000" w:sz="4" w:space="0"/>
              <w:bottom w:val="single" w:color="000000" w:sz="4" w:space="0"/>
              <w:right w:val="single" w:color="000000" w:sz="4" w:space="0"/>
            </w:tcBorders>
            <w:shd w:val="clear"/>
            <w:noWrap/>
            <w:vAlign w:val="center"/>
          </w:tcPr>
          <w:p w14:paraId="76FF2C8E">
            <w:pPr>
              <w:jc w:val="center"/>
              <w:rPr>
                <w:rFonts w:hint="eastAsia" w:ascii="等线" w:hAnsi="等线" w:eastAsia="等线" w:cs="等线"/>
                <w:i w:val="0"/>
                <w:iCs w:val="0"/>
                <w:color w:val="000000"/>
                <w:sz w:val="18"/>
                <w:szCs w:val="18"/>
                <w:u w:val="none"/>
              </w:rPr>
            </w:pPr>
          </w:p>
        </w:tc>
        <w:tc>
          <w:tcPr>
            <w:tcW w:w="279" w:type="pct"/>
            <w:tcBorders>
              <w:top w:val="single" w:color="000000" w:sz="4" w:space="0"/>
              <w:left w:val="single" w:color="000000" w:sz="4" w:space="0"/>
              <w:bottom w:val="single" w:color="000000" w:sz="4" w:space="0"/>
              <w:right w:val="single" w:color="000000" w:sz="4" w:space="0"/>
            </w:tcBorders>
            <w:shd w:val="clear"/>
            <w:noWrap/>
            <w:vAlign w:val="center"/>
          </w:tcPr>
          <w:p w14:paraId="6B72C724">
            <w:pPr>
              <w:jc w:val="center"/>
              <w:rPr>
                <w:rFonts w:hint="eastAsia" w:ascii="等线" w:hAnsi="等线" w:eastAsia="等线" w:cs="等线"/>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noWrap/>
            <w:vAlign w:val="center"/>
          </w:tcPr>
          <w:p w14:paraId="167AD5D3">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246860</w:t>
            </w:r>
          </w:p>
        </w:tc>
        <w:tc>
          <w:tcPr>
            <w:tcW w:w="436" w:type="pct"/>
            <w:tcBorders>
              <w:top w:val="single" w:color="000000" w:sz="4" w:space="0"/>
              <w:left w:val="single" w:color="000000" w:sz="4" w:space="0"/>
              <w:bottom w:val="single" w:color="000000" w:sz="4" w:space="0"/>
              <w:right w:val="single" w:color="000000" w:sz="4" w:space="0"/>
            </w:tcBorders>
            <w:shd w:val="clear"/>
            <w:noWrap/>
            <w:vAlign w:val="center"/>
          </w:tcPr>
          <w:p w14:paraId="313AB41A">
            <w:pPr>
              <w:jc w:val="center"/>
              <w:rPr>
                <w:rFonts w:hint="eastAsia" w:ascii="等线" w:hAnsi="等线" w:eastAsia="等线" w:cs="等线"/>
                <w:i w:val="0"/>
                <w:iCs w:val="0"/>
                <w:color w:val="000000"/>
                <w:sz w:val="18"/>
                <w:szCs w:val="18"/>
                <w:u w:val="none"/>
              </w:rPr>
            </w:pPr>
          </w:p>
        </w:tc>
        <w:tc>
          <w:tcPr>
            <w:tcW w:w="327" w:type="pct"/>
            <w:tcBorders>
              <w:top w:val="single" w:color="000000" w:sz="4" w:space="0"/>
              <w:left w:val="single" w:color="000000" w:sz="4" w:space="0"/>
              <w:bottom w:val="single" w:color="000000" w:sz="4" w:space="0"/>
              <w:right w:val="single" w:color="000000" w:sz="4" w:space="0"/>
            </w:tcBorders>
            <w:shd w:val="clear"/>
            <w:noWrap/>
            <w:vAlign w:val="center"/>
          </w:tcPr>
          <w:p w14:paraId="43BF9F5F">
            <w:pPr>
              <w:jc w:val="center"/>
              <w:rPr>
                <w:rFonts w:hint="eastAsia" w:ascii="等线" w:hAnsi="等线" w:eastAsia="等线" w:cs="等线"/>
                <w:i w:val="0"/>
                <w:iCs w:val="0"/>
                <w:color w:val="000000"/>
                <w:sz w:val="18"/>
                <w:szCs w:val="18"/>
                <w:u w:val="none"/>
              </w:rPr>
            </w:pPr>
          </w:p>
        </w:tc>
        <w:tc>
          <w:tcPr>
            <w:tcW w:w="332" w:type="pct"/>
            <w:tcBorders>
              <w:top w:val="single" w:color="000000" w:sz="4" w:space="0"/>
              <w:left w:val="single" w:color="000000" w:sz="4" w:space="0"/>
              <w:bottom w:val="single" w:color="000000" w:sz="4" w:space="0"/>
              <w:right w:val="single" w:color="000000" w:sz="4" w:space="0"/>
            </w:tcBorders>
            <w:shd w:val="clear"/>
            <w:vAlign w:val="center"/>
          </w:tcPr>
          <w:p w14:paraId="65CBFE75">
            <w:pPr>
              <w:jc w:val="center"/>
              <w:rPr>
                <w:rFonts w:hint="eastAsia" w:ascii="等线" w:hAnsi="等线" w:eastAsia="等线" w:cs="等线"/>
                <w:i w:val="0"/>
                <w:iCs w:val="0"/>
                <w:color w:val="000000"/>
                <w:sz w:val="18"/>
                <w:szCs w:val="18"/>
                <w:u w:val="none"/>
              </w:rPr>
            </w:pPr>
          </w:p>
        </w:tc>
        <w:tc>
          <w:tcPr>
            <w:tcW w:w="475" w:type="pct"/>
            <w:tcBorders>
              <w:top w:val="single" w:color="000000" w:sz="4" w:space="0"/>
              <w:left w:val="single" w:color="000000" w:sz="4" w:space="0"/>
              <w:bottom w:val="single" w:color="000000" w:sz="4" w:space="0"/>
              <w:right w:val="single" w:color="000000" w:sz="4" w:space="0"/>
            </w:tcBorders>
            <w:shd w:val="clear"/>
            <w:vAlign w:val="center"/>
          </w:tcPr>
          <w:p w14:paraId="2DCAD321">
            <w:pPr>
              <w:rPr>
                <w:rFonts w:hint="eastAsia" w:ascii="等线" w:hAnsi="等线" w:eastAsia="等线" w:cs="等线"/>
                <w:i w:val="0"/>
                <w:iCs w:val="0"/>
                <w:color w:val="000000"/>
                <w:sz w:val="18"/>
                <w:szCs w:val="18"/>
                <w:u w:val="none"/>
              </w:rPr>
            </w:pPr>
          </w:p>
        </w:tc>
      </w:tr>
      <w:tr w14:paraId="029EF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02" w:hRule="atLeast"/>
        </w:trPr>
        <w:tc>
          <w:tcPr>
            <w:tcW w:w="208" w:type="pct"/>
            <w:tcBorders>
              <w:top w:val="single" w:color="000000" w:sz="4" w:space="0"/>
              <w:left w:val="single" w:color="000000" w:sz="4" w:space="0"/>
              <w:bottom w:val="single" w:color="000000" w:sz="4" w:space="0"/>
              <w:right w:val="single" w:color="000000" w:sz="4" w:space="0"/>
            </w:tcBorders>
            <w:shd w:val="clear"/>
            <w:noWrap/>
            <w:vAlign w:val="center"/>
          </w:tcPr>
          <w:p w14:paraId="448B8B3B">
            <w:pPr>
              <w:jc w:val="center"/>
              <w:rPr>
                <w:rFonts w:hint="eastAsia" w:ascii="等线" w:hAnsi="等线" w:eastAsia="等线" w:cs="等线"/>
                <w:i w:val="0"/>
                <w:iCs w:val="0"/>
                <w:color w:val="000000"/>
                <w:sz w:val="18"/>
                <w:szCs w:val="18"/>
                <w:u w:val="none"/>
              </w:rPr>
            </w:pPr>
          </w:p>
        </w:tc>
        <w:tc>
          <w:tcPr>
            <w:tcW w:w="385" w:type="pct"/>
            <w:tcBorders>
              <w:top w:val="single" w:color="000000" w:sz="4" w:space="0"/>
              <w:left w:val="single" w:color="000000" w:sz="4" w:space="0"/>
              <w:bottom w:val="single" w:color="000000" w:sz="4" w:space="0"/>
              <w:right w:val="single" w:color="000000" w:sz="4" w:space="0"/>
            </w:tcBorders>
            <w:shd w:val="clear"/>
            <w:noWrap/>
            <w:vAlign w:val="center"/>
          </w:tcPr>
          <w:p w14:paraId="27FAE778">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合计</w:t>
            </w:r>
          </w:p>
        </w:tc>
        <w:tc>
          <w:tcPr>
            <w:tcW w:w="384" w:type="pct"/>
            <w:tcBorders>
              <w:top w:val="single" w:color="000000" w:sz="4" w:space="0"/>
              <w:left w:val="single" w:color="000000" w:sz="4" w:space="0"/>
              <w:bottom w:val="single" w:color="000000" w:sz="4" w:space="0"/>
              <w:right w:val="single" w:color="000000" w:sz="4" w:space="0"/>
            </w:tcBorders>
            <w:shd w:val="clear"/>
            <w:noWrap/>
            <w:vAlign w:val="center"/>
          </w:tcPr>
          <w:p w14:paraId="509E1497">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6610948</w:t>
            </w:r>
          </w:p>
        </w:tc>
        <w:tc>
          <w:tcPr>
            <w:tcW w:w="349" w:type="pct"/>
            <w:tcBorders>
              <w:top w:val="single" w:color="000000" w:sz="4" w:space="0"/>
              <w:left w:val="single" w:color="000000" w:sz="4" w:space="0"/>
              <w:bottom w:val="single" w:color="000000" w:sz="4" w:space="0"/>
              <w:right w:val="single" w:color="000000" w:sz="4" w:space="0"/>
            </w:tcBorders>
            <w:shd w:val="clear"/>
            <w:noWrap/>
            <w:vAlign w:val="center"/>
          </w:tcPr>
          <w:p w14:paraId="0164D12C">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411424</w:t>
            </w:r>
          </w:p>
        </w:tc>
        <w:tc>
          <w:tcPr>
            <w:tcW w:w="331" w:type="pct"/>
            <w:tcBorders>
              <w:top w:val="single" w:color="000000" w:sz="4" w:space="0"/>
              <w:left w:val="single" w:color="000000" w:sz="4" w:space="0"/>
              <w:bottom w:val="single" w:color="000000" w:sz="4" w:space="0"/>
              <w:right w:val="single" w:color="000000" w:sz="4" w:space="0"/>
            </w:tcBorders>
            <w:shd w:val="clear"/>
            <w:noWrap/>
            <w:vAlign w:val="center"/>
          </w:tcPr>
          <w:p w14:paraId="1A9A1AF7">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99245</w:t>
            </w:r>
          </w:p>
        </w:tc>
        <w:tc>
          <w:tcPr>
            <w:tcW w:w="384" w:type="pct"/>
            <w:tcBorders>
              <w:top w:val="single" w:color="000000" w:sz="4" w:space="0"/>
              <w:left w:val="single" w:color="000000" w:sz="4" w:space="0"/>
              <w:bottom w:val="single" w:color="000000" w:sz="4" w:space="0"/>
              <w:right w:val="single" w:color="000000" w:sz="4" w:space="0"/>
            </w:tcBorders>
            <w:shd w:val="clear"/>
            <w:noWrap/>
            <w:vAlign w:val="center"/>
          </w:tcPr>
          <w:p w14:paraId="7EFF92EF">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20595</w:t>
            </w:r>
          </w:p>
        </w:tc>
        <w:tc>
          <w:tcPr>
            <w:tcW w:w="353" w:type="pct"/>
            <w:tcBorders>
              <w:top w:val="single" w:color="000000" w:sz="4" w:space="0"/>
              <w:left w:val="single" w:color="000000" w:sz="4" w:space="0"/>
              <w:bottom w:val="single" w:color="000000" w:sz="4" w:space="0"/>
              <w:right w:val="single" w:color="000000" w:sz="4" w:space="0"/>
            </w:tcBorders>
            <w:shd w:val="clear"/>
            <w:noWrap/>
            <w:vAlign w:val="center"/>
          </w:tcPr>
          <w:p w14:paraId="31067A28">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24686</w:t>
            </w:r>
          </w:p>
        </w:tc>
        <w:tc>
          <w:tcPr>
            <w:tcW w:w="318" w:type="pct"/>
            <w:tcBorders>
              <w:top w:val="single" w:color="000000" w:sz="4" w:space="0"/>
              <w:left w:val="single" w:color="000000" w:sz="4" w:space="0"/>
              <w:bottom w:val="single" w:color="000000" w:sz="4" w:space="0"/>
              <w:right w:val="single" w:color="000000" w:sz="4" w:space="0"/>
            </w:tcBorders>
            <w:shd w:val="clear"/>
            <w:noWrap/>
            <w:vAlign w:val="center"/>
          </w:tcPr>
          <w:p w14:paraId="7D867329">
            <w:pPr>
              <w:jc w:val="center"/>
              <w:rPr>
                <w:rFonts w:hint="eastAsia" w:ascii="等线" w:hAnsi="等线" w:eastAsia="等线" w:cs="等线"/>
                <w:i w:val="0"/>
                <w:iCs w:val="0"/>
                <w:color w:val="000000"/>
                <w:sz w:val="18"/>
                <w:szCs w:val="18"/>
                <w:u w:val="none"/>
              </w:rPr>
            </w:pPr>
          </w:p>
        </w:tc>
        <w:tc>
          <w:tcPr>
            <w:tcW w:w="279" w:type="pct"/>
            <w:tcBorders>
              <w:top w:val="single" w:color="000000" w:sz="4" w:space="0"/>
              <w:left w:val="single" w:color="000000" w:sz="4" w:space="0"/>
              <w:bottom w:val="single" w:color="000000" w:sz="4" w:space="0"/>
              <w:right w:val="single" w:color="000000" w:sz="4" w:space="0"/>
            </w:tcBorders>
            <w:shd w:val="clear"/>
            <w:noWrap/>
            <w:vAlign w:val="center"/>
          </w:tcPr>
          <w:p w14:paraId="619CE7E4">
            <w:pPr>
              <w:jc w:val="center"/>
              <w:rPr>
                <w:rFonts w:hint="eastAsia" w:ascii="等线" w:hAnsi="等线" w:eastAsia="等线" w:cs="等线"/>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noWrap/>
            <w:vAlign w:val="center"/>
          </w:tcPr>
          <w:p w14:paraId="6176E584">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4567050</w:t>
            </w:r>
          </w:p>
        </w:tc>
        <w:tc>
          <w:tcPr>
            <w:tcW w:w="436" w:type="pct"/>
            <w:tcBorders>
              <w:top w:val="single" w:color="000000" w:sz="4" w:space="0"/>
              <w:left w:val="single" w:color="000000" w:sz="4" w:space="0"/>
              <w:bottom w:val="single" w:color="000000" w:sz="4" w:space="0"/>
              <w:right w:val="single" w:color="000000" w:sz="4" w:space="0"/>
            </w:tcBorders>
            <w:shd w:val="clear"/>
            <w:noWrap/>
            <w:vAlign w:val="center"/>
          </w:tcPr>
          <w:p w14:paraId="3174997B">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496225</w:t>
            </w:r>
          </w:p>
        </w:tc>
        <w:tc>
          <w:tcPr>
            <w:tcW w:w="327" w:type="pct"/>
            <w:tcBorders>
              <w:top w:val="single" w:color="000000" w:sz="4" w:space="0"/>
              <w:left w:val="single" w:color="000000" w:sz="4" w:space="0"/>
              <w:bottom w:val="single" w:color="000000" w:sz="4" w:space="0"/>
              <w:right w:val="single" w:color="000000" w:sz="4" w:space="0"/>
            </w:tcBorders>
            <w:shd w:val="clear"/>
            <w:noWrap/>
            <w:vAlign w:val="center"/>
          </w:tcPr>
          <w:p w14:paraId="0ED858AC">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8643</w:t>
            </w:r>
          </w:p>
        </w:tc>
        <w:tc>
          <w:tcPr>
            <w:tcW w:w="332" w:type="pct"/>
            <w:tcBorders>
              <w:top w:val="single" w:color="000000" w:sz="4" w:space="0"/>
              <w:left w:val="single" w:color="000000" w:sz="4" w:space="0"/>
              <w:bottom w:val="single" w:color="000000" w:sz="4" w:space="0"/>
              <w:right w:val="single" w:color="000000" w:sz="4" w:space="0"/>
            </w:tcBorders>
            <w:shd w:val="clear"/>
            <w:noWrap/>
            <w:vAlign w:val="center"/>
          </w:tcPr>
          <w:p w14:paraId="17598B12">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bdr w:val="none" w:color="auto" w:sz="0" w:space="0"/>
                <w:lang w:val="en-US" w:eastAsia="zh-CN" w:bidi="ar"/>
              </w:rPr>
              <w:t>90000</w:t>
            </w:r>
          </w:p>
        </w:tc>
        <w:tc>
          <w:tcPr>
            <w:tcW w:w="475" w:type="pct"/>
            <w:tcBorders>
              <w:top w:val="single" w:color="000000" w:sz="4" w:space="0"/>
              <w:left w:val="single" w:color="000000" w:sz="4" w:space="0"/>
              <w:bottom w:val="single" w:color="000000" w:sz="4" w:space="0"/>
              <w:right w:val="single" w:color="000000" w:sz="4" w:space="0"/>
            </w:tcBorders>
            <w:shd w:val="clear"/>
            <w:noWrap/>
            <w:vAlign w:val="bottom"/>
          </w:tcPr>
          <w:p w14:paraId="083A98A8">
            <w:pPr>
              <w:rPr>
                <w:rFonts w:hint="eastAsia" w:ascii="等线" w:hAnsi="等线" w:eastAsia="等线" w:cs="等线"/>
                <w:i w:val="0"/>
                <w:iCs w:val="0"/>
                <w:color w:val="000000"/>
                <w:sz w:val="18"/>
                <w:szCs w:val="18"/>
                <w:u w:val="none"/>
              </w:rPr>
            </w:pPr>
          </w:p>
        </w:tc>
      </w:tr>
    </w:tbl>
    <w:p w14:paraId="5FD301A4">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color w:val="auto"/>
          <w:spacing w:val="0"/>
          <w:kern w:val="0"/>
          <w:sz w:val="18"/>
          <w:szCs w:val="18"/>
          <w:lang w:val="en-US" w:eastAsia="zh-CN"/>
        </w:rPr>
      </w:pPr>
    </w:p>
    <w:p w14:paraId="06145E49">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color w:val="auto"/>
          <w:spacing w:val="0"/>
          <w:kern w:val="0"/>
          <w:sz w:val="18"/>
          <w:szCs w:val="18"/>
          <w:lang w:val="en-US" w:eastAsia="zh-CN"/>
        </w:rPr>
      </w:pPr>
    </w:p>
    <w:p w14:paraId="56FC65FE">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color w:val="auto"/>
          <w:spacing w:val="0"/>
          <w:kern w:val="0"/>
          <w:sz w:val="18"/>
          <w:szCs w:val="18"/>
          <w:lang w:val="en-US" w:eastAsia="zh-CN"/>
        </w:rPr>
      </w:pPr>
    </w:p>
    <w:p w14:paraId="49ABB9A0">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color w:val="auto"/>
          <w:spacing w:val="0"/>
          <w:kern w:val="0"/>
          <w:sz w:val="18"/>
          <w:szCs w:val="18"/>
          <w:lang w:val="en-US" w:eastAsia="zh-CN"/>
        </w:rPr>
      </w:pPr>
    </w:p>
    <w:p w14:paraId="05C1C399">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color w:val="auto"/>
          <w:spacing w:val="0"/>
          <w:kern w:val="0"/>
          <w:sz w:val="18"/>
          <w:szCs w:val="18"/>
          <w:lang w:val="en-US" w:eastAsia="zh-CN"/>
        </w:rPr>
      </w:pPr>
    </w:p>
    <w:p w14:paraId="0B34A58A">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color w:val="auto"/>
          <w:spacing w:val="0"/>
          <w:kern w:val="0"/>
          <w:sz w:val="18"/>
          <w:szCs w:val="18"/>
          <w:lang w:val="en-US" w:eastAsia="zh-CN"/>
        </w:rPr>
      </w:pPr>
    </w:p>
    <w:p w14:paraId="4900B8D5">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color w:val="auto"/>
          <w:spacing w:val="0"/>
          <w:kern w:val="0"/>
          <w:sz w:val="18"/>
          <w:szCs w:val="18"/>
          <w:lang w:val="en-US" w:eastAsia="zh-CN"/>
        </w:rPr>
      </w:pPr>
    </w:p>
    <w:p w14:paraId="704188EF">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color w:val="auto"/>
          <w:spacing w:val="0"/>
          <w:kern w:val="0"/>
          <w:sz w:val="18"/>
          <w:szCs w:val="18"/>
          <w:lang w:val="en-US" w:eastAsia="zh-CN"/>
        </w:rPr>
      </w:pPr>
    </w:p>
    <w:p w14:paraId="1C7C8F89">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color w:val="auto"/>
          <w:spacing w:val="0"/>
          <w:kern w:val="0"/>
          <w:sz w:val="18"/>
          <w:szCs w:val="18"/>
          <w:lang w:val="en-US" w:eastAsia="zh-CN"/>
        </w:rPr>
      </w:pPr>
    </w:p>
    <w:p w14:paraId="36A1D6F1">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color w:val="auto"/>
          <w:spacing w:val="0"/>
          <w:kern w:val="0"/>
          <w:sz w:val="18"/>
          <w:szCs w:val="18"/>
          <w:lang w:val="en-US" w:eastAsia="zh-CN"/>
        </w:rPr>
      </w:pPr>
    </w:p>
    <w:p w14:paraId="62184B51">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color w:val="auto"/>
          <w:spacing w:val="0"/>
          <w:kern w:val="0"/>
          <w:sz w:val="18"/>
          <w:szCs w:val="18"/>
          <w:lang w:val="en-US" w:eastAsia="zh-CN"/>
        </w:rPr>
        <w:sectPr>
          <w:pgSz w:w="16838" w:h="11906" w:orient="landscape"/>
          <w:pgMar w:top="720" w:right="720" w:bottom="720" w:left="720" w:header="454" w:footer="510" w:gutter="0"/>
          <w:pgNumType w:fmt="decimal"/>
          <w:cols w:space="425" w:num="1"/>
          <w:docGrid w:type="lines" w:linePitch="312" w:charSpace="0"/>
        </w:sectPr>
      </w:pPr>
    </w:p>
    <w:p w14:paraId="656C9BC8">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eastAsia" w:ascii="黑体" w:hAnsi="黑体" w:eastAsia="黑体" w:cs="黑体"/>
          <w:color w:val="auto"/>
          <w:spacing w:val="0"/>
          <w:kern w:val="0"/>
          <w:sz w:val="30"/>
          <w:szCs w:val="32"/>
          <w:lang w:val="en-US" w:eastAsia="zh-CN"/>
        </w:rPr>
      </w:pPr>
      <w:r>
        <w:rPr>
          <w:rFonts w:hint="default" w:ascii="黑体" w:hAnsi="黑体" w:eastAsia="黑体" w:cs="黑体"/>
          <w:color w:val="auto"/>
          <w:spacing w:val="0"/>
          <w:kern w:val="0"/>
          <w:sz w:val="30"/>
          <w:szCs w:val="32"/>
          <w:lang w:val="en-US" w:eastAsia="zh-CN"/>
        </w:rPr>
        <w:drawing>
          <wp:anchor distT="0" distB="0" distL="114300" distR="114300" simplePos="0" relativeHeight="251661312" behindDoc="1" locked="0" layoutInCell="1" allowOverlap="1">
            <wp:simplePos x="0" y="0"/>
            <wp:positionH relativeFrom="column">
              <wp:posOffset>-17780</wp:posOffset>
            </wp:positionH>
            <wp:positionV relativeFrom="paragraph">
              <wp:posOffset>-1905</wp:posOffset>
            </wp:positionV>
            <wp:extent cx="5615305" cy="7935595"/>
            <wp:effectExtent l="0" t="0" r="4445" b="8255"/>
            <wp:wrapNone/>
            <wp:docPr id="5" name="图片 5" descr="技术导则林草局(定稿）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技术导则林草局(定稿）_00"/>
                    <pic:cNvPicPr>
                      <a:picLocks noChangeAspect="1"/>
                    </pic:cNvPicPr>
                  </pic:nvPicPr>
                  <pic:blipFill>
                    <a:blip r:embed="rId6"/>
                    <a:stretch>
                      <a:fillRect/>
                    </a:stretch>
                  </pic:blipFill>
                  <pic:spPr>
                    <a:xfrm>
                      <a:off x="0" y="0"/>
                      <a:ext cx="5615305" cy="7935595"/>
                    </a:xfrm>
                    <a:prstGeom prst="rect">
                      <a:avLst/>
                    </a:prstGeom>
                  </pic:spPr>
                </pic:pic>
              </a:graphicData>
            </a:graphic>
          </wp:anchor>
        </w:drawing>
      </w:r>
      <w:r>
        <w:rPr>
          <w:rFonts w:hint="eastAsia" w:ascii="黑体" w:hAnsi="黑体" w:eastAsia="黑体" w:cs="黑体"/>
          <w:color w:val="auto"/>
          <w:spacing w:val="0"/>
          <w:kern w:val="0"/>
          <w:sz w:val="30"/>
          <w:szCs w:val="32"/>
          <w:lang w:val="en-US" w:eastAsia="zh-CN"/>
        </w:rPr>
        <w:t>附件3</w:t>
      </w:r>
    </w:p>
    <w:p w14:paraId="7EB7A819">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68A1FAF6">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17E9A8AC">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42FE3990">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49A8C703">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0FF9CAAC">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0BC687EB">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7ED182ED">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165C5FB3">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136635EE">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09A9E365">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26EC8755">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140AFFCB">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5F82F167">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2870DF86">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039612D0">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75C86ADD">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4A09DD5B">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7D5F5891">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356591C6">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581F1153">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11C7906A">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r>
        <w:rPr>
          <w:rFonts w:hint="default" w:ascii="黑体" w:hAnsi="黑体" w:eastAsia="黑体" w:cs="黑体"/>
          <w:color w:val="auto"/>
          <w:spacing w:val="0"/>
          <w:kern w:val="0"/>
          <w:sz w:val="30"/>
          <w:szCs w:val="32"/>
          <w:lang w:val="en-US" w:eastAsia="zh-CN"/>
        </w:rPr>
        <w:drawing>
          <wp:anchor distT="0" distB="0" distL="114300" distR="114300" simplePos="0" relativeHeight="251661312" behindDoc="1" locked="0" layoutInCell="1" allowOverlap="1">
            <wp:simplePos x="0" y="0"/>
            <wp:positionH relativeFrom="column">
              <wp:posOffset>-25400</wp:posOffset>
            </wp:positionH>
            <wp:positionV relativeFrom="paragraph">
              <wp:posOffset>7620</wp:posOffset>
            </wp:positionV>
            <wp:extent cx="5610860" cy="7934960"/>
            <wp:effectExtent l="0" t="0" r="8890" b="8890"/>
            <wp:wrapNone/>
            <wp:docPr id="6" name="图片 6" descr="技术导则林草局(定稿）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技术导则林草局(定稿）_01"/>
                    <pic:cNvPicPr>
                      <a:picLocks noChangeAspect="1"/>
                    </pic:cNvPicPr>
                  </pic:nvPicPr>
                  <pic:blipFill>
                    <a:blip r:embed="rId7"/>
                    <a:stretch>
                      <a:fillRect/>
                    </a:stretch>
                  </pic:blipFill>
                  <pic:spPr>
                    <a:xfrm>
                      <a:off x="0" y="0"/>
                      <a:ext cx="5610860" cy="7934960"/>
                    </a:xfrm>
                    <a:prstGeom prst="rect">
                      <a:avLst/>
                    </a:prstGeom>
                  </pic:spPr>
                </pic:pic>
              </a:graphicData>
            </a:graphic>
          </wp:anchor>
        </w:drawing>
      </w:r>
    </w:p>
    <w:p w14:paraId="73E04C03">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57A4CA5B">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49B5E874">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63D2046A">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4B87AB54">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707B036F">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6B1BA411">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17B059FA">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4218B77D">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417E5E7A">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1D9F6CBE">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26610DE3">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410FDA32">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53F9BF62">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1B83FCD5">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166882D0">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1E461AF8">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71DBF39A">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320DD665">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549CD7D5">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0A9EEE43">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60D5C469">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r>
        <w:rPr>
          <w:rFonts w:hint="default" w:ascii="黑体" w:hAnsi="黑体" w:eastAsia="黑体" w:cs="黑体"/>
          <w:color w:val="auto"/>
          <w:spacing w:val="0"/>
          <w:kern w:val="0"/>
          <w:sz w:val="30"/>
          <w:szCs w:val="32"/>
          <w:lang w:val="en-US" w:eastAsia="zh-CN"/>
        </w:rPr>
        <w:drawing>
          <wp:anchor distT="0" distB="0" distL="114300" distR="114300" simplePos="0" relativeHeight="251660288" behindDoc="0" locked="0" layoutInCell="1" allowOverlap="1">
            <wp:simplePos x="0" y="0"/>
            <wp:positionH relativeFrom="column">
              <wp:posOffset>-8255</wp:posOffset>
            </wp:positionH>
            <wp:positionV relativeFrom="paragraph">
              <wp:posOffset>23495</wp:posOffset>
            </wp:positionV>
            <wp:extent cx="5610860" cy="7934960"/>
            <wp:effectExtent l="0" t="0" r="8890" b="8890"/>
            <wp:wrapNone/>
            <wp:docPr id="4" name="图片 4" descr="技术导则林草局(定稿）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技术导则林草局(定稿）_02"/>
                    <pic:cNvPicPr>
                      <a:picLocks noChangeAspect="1"/>
                    </pic:cNvPicPr>
                  </pic:nvPicPr>
                  <pic:blipFill>
                    <a:blip r:embed="rId8"/>
                    <a:stretch>
                      <a:fillRect/>
                    </a:stretch>
                  </pic:blipFill>
                  <pic:spPr>
                    <a:xfrm>
                      <a:off x="0" y="0"/>
                      <a:ext cx="5610860" cy="7934960"/>
                    </a:xfrm>
                    <a:prstGeom prst="rect">
                      <a:avLst/>
                    </a:prstGeom>
                  </pic:spPr>
                </pic:pic>
              </a:graphicData>
            </a:graphic>
          </wp:anchor>
        </w:drawing>
      </w:r>
    </w:p>
    <w:p w14:paraId="671C4033">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2A8BB18F">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0D12C87B">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38695F64">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174DFD8D">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62BC1A3E">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65C802DE">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15015103">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173E70D8">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08CA9AE4">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78A54143">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7359341C">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37A8F1A9">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03336595">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653490D2">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08A52143">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3BF7523D">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15FA6E47">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251BE98D">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235FBB97">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2309448B">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781A444C">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r>
        <w:rPr>
          <w:rFonts w:hint="default" w:ascii="黑体" w:hAnsi="黑体" w:eastAsia="黑体" w:cs="黑体"/>
          <w:color w:val="auto"/>
          <w:spacing w:val="0"/>
          <w:kern w:val="0"/>
          <w:sz w:val="30"/>
          <w:szCs w:val="32"/>
          <w:lang w:val="en-US" w:eastAsia="zh-CN"/>
        </w:rPr>
        <w:drawing>
          <wp:anchor distT="0" distB="0" distL="114300" distR="114300" simplePos="0" relativeHeight="251661312" behindDoc="1" locked="0" layoutInCell="1" allowOverlap="1">
            <wp:simplePos x="0" y="0"/>
            <wp:positionH relativeFrom="column">
              <wp:posOffset>-26035</wp:posOffset>
            </wp:positionH>
            <wp:positionV relativeFrom="paragraph">
              <wp:posOffset>-19685</wp:posOffset>
            </wp:positionV>
            <wp:extent cx="5610860" cy="7934960"/>
            <wp:effectExtent l="0" t="0" r="8890" b="8890"/>
            <wp:wrapNone/>
            <wp:docPr id="7" name="图片 7" descr="技术导则林草局(定稿）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技术导则林草局(定稿）_03"/>
                    <pic:cNvPicPr>
                      <a:picLocks noChangeAspect="1"/>
                    </pic:cNvPicPr>
                  </pic:nvPicPr>
                  <pic:blipFill>
                    <a:blip r:embed="rId9"/>
                    <a:stretch>
                      <a:fillRect/>
                    </a:stretch>
                  </pic:blipFill>
                  <pic:spPr>
                    <a:xfrm>
                      <a:off x="0" y="0"/>
                      <a:ext cx="5610860" cy="7934960"/>
                    </a:xfrm>
                    <a:prstGeom prst="rect">
                      <a:avLst/>
                    </a:prstGeom>
                  </pic:spPr>
                </pic:pic>
              </a:graphicData>
            </a:graphic>
          </wp:anchor>
        </w:drawing>
      </w:r>
    </w:p>
    <w:p w14:paraId="71610971">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68175B8D">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6C9E7565">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3AECABE4">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1FA4EB0A">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3A8648DE">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16569806">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0E6C2B86">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5238961C">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66BED59F">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7FA613AB">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71AC006E">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17243888">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46146B0E">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5EE31AAA">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6341AC59">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7B988409">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53823310">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6331D782">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23F6AB77">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1C25ADAC">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0295590C">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r>
        <w:rPr>
          <w:rFonts w:hint="default" w:ascii="黑体" w:hAnsi="黑体" w:eastAsia="黑体" w:cs="黑体"/>
          <w:color w:val="auto"/>
          <w:spacing w:val="0"/>
          <w:kern w:val="0"/>
          <w:sz w:val="30"/>
          <w:szCs w:val="32"/>
          <w:lang w:val="en-US" w:eastAsia="zh-CN"/>
        </w:rPr>
        <w:drawing>
          <wp:anchor distT="0" distB="0" distL="114300" distR="114300" simplePos="0" relativeHeight="251661312" behindDoc="1" locked="0" layoutInCell="1" allowOverlap="1">
            <wp:simplePos x="0" y="0"/>
            <wp:positionH relativeFrom="column">
              <wp:posOffset>17145</wp:posOffset>
            </wp:positionH>
            <wp:positionV relativeFrom="paragraph">
              <wp:posOffset>-1270</wp:posOffset>
            </wp:positionV>
            <wp:extent cx="5610860" cy="7934960"/>
            <wp:effectExtent l="0" t="0" r="8890" b="8890"/>
            <wp:wrapNone/>
            <wp:docPr id="8" name="图片 8" descr="技术导则林草局(定稿）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技术导则林草局(定稿）_04"/>
                    <pic:cNvPicPr>
                      <a:picLocks noChangeAspect="1"/>
                    </pic:cNvPicPr>
                  </pic:nvPicPr>
                  <pic:blipFill>
                    <a:blip r:embed="rId10"/>
                    <a:stretch>
                      <a:fillRect/>
                    </a:stretch>
                  </pic:blipFill>
                  <pic:spPr>
                    <a:xfrm>
                      <a:off x="0" y="0"/>
                      <a:ext cx="5610860" cy="7934960"/>
                    </a:xfrm>
                    <a:prstGeom prst="rect">
                      <a:avLst/>
                    </a:prstGeom>
                  </pic:spPr>
                </pic:pic>
              </a:graphicData>
            </a:graphic>
          </wp:anchor>
        </w:drawing>
      </w:r>
    </w:p>
    <w:p w14:paraId="5DEBED04">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16BA6E00">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09E5DD5E">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7C9D27C3">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02EEA52F">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55277E1B">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4C12DB74">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73D8A060">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7CE6CF5C">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7B3A9DB1">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4EED8241">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3C3FF571">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1245C2B8">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35253B3A">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63B7E20F">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65C0347C">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4C38F632">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60BB8837">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4199E167">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04C21A88">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626A0F97">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1929386B">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r>
        <w:rPr>
          <w:rFonts w:hint="default" w:ascii="黑体" w:hAnsi="黑体" w:eastAsia="黑体" w:cs="黑体"/>
          <w:color w:val="auto"/>
          <w:spacing w:val="0"/>
          <w:kern w:val="0"/>
          <w:sz w:val="30"/>
          <w:szCs w:val="32"/>
          <w:lang w:val="en-US" w:eastAsia="zh-CN"/>
        </w:rPr>
        <w:drawing>
          <wp:anchor distT="0" distB="0" distL="114300" distR="114300" simplePos="0" relativeHeight="251661312" behindDoc="1" locked="0" layoutInCell="1" allowOverlap="1">
            <wp:simplePos x="0" y="0"/>
            <wp:positionH relativeFrom="column">
              <wp:posOffset>15875</wp:posOffset>
            </wp:positionH>
            <wp:positionV relativeFrom="paragraph">
              <wp:posOffset>15240</wp:posOffset>
            </wp:positionV>
            <wp:extent cx="5610860" cy="7934960"/>
            <wp:effectExtent l="0" t="0" r="8890" b="8890"/>
            <wp:wrapNone/>
            <wp:docPr id="9" name="图片 9" descr="技术导则林草局(定稿）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技术导则林草局(定稿）_05"/>
                    <pic:cNvPicPr>
                      <a:picLocks noChangeAspect="1"/>
                    </pic:cNvPicPr>
                  </pic:nvPicPr>
                  <pic:blipFill>
                    <a:blip r:embed="rId11"/>
                    <a:stretch>
                      <a:fillRect/>
                    </a:stretch>
                  </pic:blipFill>
                  <pic:spPr>
                    <a:xfrm>
                      <a:off x="0" y="0"/>
                      <a:ext cx="5610860" cy="7934960"/>
                    </a:xfrm>
                    <a:prstGeom prst="rect">
                      <a:avLst/>
                    </a:prstGeom>
                  </pic:spPr>
                </pic:pic>
              </a:graphicData>
            </a:graphic>
          </wp:anchor>
        </w:drawing>
      </w:r>
    </w:p>
    <w:p w14:paraId="6BA92653">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5E5675E6">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5D3FBC49">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102FBAC5">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17E62EE5">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123525FE">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5A9D358C">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38AC9D1F">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0F758268">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160D3C92">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66091E22">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13016740">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324CB6A9">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27195DE9">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7DCB36B0">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462FF209">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59E4C7F4">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38830190">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0FD9456F">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66108873">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4ED103A7">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4222B789">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r>
        <w:rPr>
          <w:rFonts w:hint="default" w:ascii="黑体" w:hAnsi="黑体" w:eastAsia="黑体" w:cs="黑体"/>
          <w:color w:val="auto"/>
          <w:spacing w:val="0"/>
          <w:kern w:val="0"/>
          <w:sz w:val="30"/>
          <w:szCs w:val="32"/>
          <w:lang w:val="en-US" w:eastAsia="zh-CN"/>
        </w:rPr>
        <w:drawing>
          <wp:anchor distT="0" distB="0" distL="114300" distR="114300" simplePos="0" relativeHeight="251661312" behindDoc="1" locked="0" layoutInCell="1" allowOverlap="1">
            <wp:simplePos x="0" y="0"/>
            <wp:positionH relativeFrom="column">
              <wp:posOffset>27305</wp:posOffset>
            </wp:positionH>
            <wp:positionV relativeFrom="paragraph">
              <wp:posOffset>-5080</wp:posOffset>
            </wp:positionV>
            <wp:extent cx="5610860" cy="7934960"/>
            <wp:effectExtent l="0" t="0" r="8890" b="8890"/>
            <wp:wrapNone/>
            <wp:docPr id="10" name="图片 10" descr="技术导则林草局(定稿）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技术导则林草局(定稿）_06"/>
                    <pic:cNvPicPr>
                      <a:picLocks noChangeAspect="1"/>
                    </pic:cNvPicPr>
                  </pic:nvPicPr>
                  <pic:blipFill>
                    <a:blip r:embed="rId12"/>
                    <a:stretch>
                      <a:fillRect/>
                    </a:stretch>
                  </pic:blipFill>
                  <pic:spPr>
                    <a:xfrm>
                      <a:off x="0" y="0"/>
                      <a:ext cx="5610860" cy="7934960"/>
                    </a:xfrm>
                    <a:prstGeom prst="rect">
                      <a:avLst/>
                    </a:prstGeom>
                  </pic:spPr>
                </pic:pic>
              </a:graphicData>
            </a:graphic>
          </wp:anchor>
        </w:drawing>
      </w:r>
    </w:p>
    <w:p w14:paraId="5026130D">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7684159F">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384A41CC">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4ED73E55">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3807E651">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28848CEB">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60CF722F">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5D390036">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72B550EA">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5F98D5EF">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515D2D90">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239427DF">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6E3C78FF">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298DF616">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4A011E72">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0CEB2499">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03E9A5D3">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584A7E20">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069D58B9">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50CC5868">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629E397E">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7BA02D91">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r>
        <w:rPr>
          <w:rFonts w:hint="default" w:ascii="黑体" w:hAnsi="黑体" w:eastAsia="黑体" w:cs="黑体"/>
          <w:color w:val="auto"/>
          <w:spacing w:val="0"/>
          <w:kern w:val="0"/>
          <w:sz w:val="30"/>
          <w:szCs w:val="32"/>
          <w:lang w:val="en-US" w:eastAsia="zh-CN"/>
        </w:rPr>
        <w:drawing>
          <wp:anchor distT="0" distB="0" distL="114300" distR="114300" simplePos="0" relativeHeight="251661312" behindDoc="1" locked="0" layoutInCell="1" allowOverlap="1">
            <wp:simplePos x="0" y="0"/>
            <wp:positionH relativeFrom="column">
              <wp:posOffset>13335</wp:posOffset>
            </wp:positionH>
            <wp:positionV relativeFrom="paragraph">
              <wp:posOffset>8255</wp:posOffset>
            </wp:positionV>
            <wp:extent cx="5610860" cy="7934960"/>
            <wp:effectExtent l="0" t="0" r="8890" b="8890"/>
            <wp:wrapNone/>
            <wp:docPr id="11" name="图片 11" descr="技术导则林草局(定稿）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技术导则林草局(定稿）_07"/>
                    <pic:cNvPicPr>
                      <a:picLocks noChangeAspect="1"/>
                    </pic:cNvPicPr>
                  </pic:nvPicPr>
                  <pic:blipFill>
                    <a:blip r:embed="rId13"/>
                    <a:stretch>
                      <a:fillRect/>
                    </a:stretch>
                  </pic:blipFill>
                  <pic:spPr>
                    <a:xfrm>
                      <a:off x="0" y="0"/>
                      <a:ext cx="5610860" cy="7934960"/>
                    </a:xfrm>
                    <a:prstGeom prst="rect">
                      <a:avLst/>
                    </a:prstGeom>
                  </pic:spPr>
                </pic:pic>
              </a:graphicData>
            </a:graphic>
          </wp:anchor>
        </w:drawing>
      </w:r>
    </w:p>
    <w:p w14:paraId="6FC7012F">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0A04C02C">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4B8E8434">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7AF08B70">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1F40A4D2">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43BAE591">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7C585E5B">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6D8BD62A">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5DE6E734">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46B1CFFC">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79E1D84A">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293FBED8">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0D296626">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47E95C6B">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58D52F07">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6EC17E57">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7CF8D85B">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5582C055">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0BA8EEB2">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7BE274E8">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78C5F2BD">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4B0A096A">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r>
        <w:rPr>
          <w:rFonts w:hint="default" w:ascii="黑体" w:hAnsi="黑体" w:eastAsia="黑体" w:cs="黑体"/>
          <w:color w:val="auto"/>
          <w:spacing w:val="0"/>
          <w:kern w:val="0"/>
          <w:sz w:val="30"/>
          <w:szCs w:val="32"/>
          <w:lang w:val="en-US" w:eastAsia="zh-CN"/>
        </w:rPr>
        <w:drawing>
          <wp:anchor distT="0" distB="0" distL="114300" distR="114300" simplePos="0" relativeHeight="251661312" behindDoc="1" locked="0" layoutInCell="1" allowOverlap="1">
            <wp:simplePos x="0" y="0"/>
            <wp:positionH relativeFrom="column">
              <wp:posOffset>-635</wp:posOffset>
            </wp:positionH>
            <wp:positionV relativeFrom="paragraph">
              <wp:posOffset>48895</wp:posOffset>
            </wp:positionV>
            <wp:extent cx="5610860" cy="7934960"/>
            <wp:effectExtent l="0" t="0" r="8890" b="8890"/>
            <wp:wrapNone/>
            <wp:docPr id="12" name="图片 12" descr="技术导则林草局(定稿）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技术导则林草局(定稿）_08"/>
                    <pic:cNvPicPr>
                      <a:picLocks noChangeAspect="1"/>
                    </pic:cNvPicPr>
                  </pic:nvPicPr>
                  <pic:blipFill>
                    <a:blip r:embed="rId14"/>
                    <a:stretch>
                      <a:fillRect/>
                    </a:stretch>
                  </pic:blipFill>
                  <pic:spPr>
                    <a:xfrm>
                      <a:off x="0" y="0"/>
                      <a:ext cx="5610860" cy="7934960"/>
                    </a:xfrm>
                    <a:prstGeom prst="rect">
                      <a:avLst/>
                    </a:prstGeom>
                  </pic:spPr>
                </pic:pic>
              </a:graphicData>
            </a:graphic>
          </wp:anchor>
        </w:drawing>
      </w:r>
    </w:p>
    <w:p w14:paraId="1C93A39D">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21F6457C">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229B71B1">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3BDAB294">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129E87F5">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5779AC7B">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6FEFDE33">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426B0CCB">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0ED96DD1">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434CAC2D">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3A351DD2">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486C4967">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103028A4">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57AD49F6">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43BB0DE0">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1AA2BFCF">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5215FC98">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5CC89433">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5AFA684E">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7B9F23D4">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1B0231FD">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5C930AAE">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r>
        <w:rPr>
          <w:rFonts w:hint="default" w:ascii="黑体" w:hAnsi="黑体" w:eastAsia="黑体" w:cs="黑体"/>
          <w:color w:val="auto"/>
          <w:spacing w:val="0"/>
          <w:kern w:val="0"/>
          <w:sz w:val="30"/>
          <w:szCs w:val="32"/>
          <w:lang w:val="en-US" w:eastAsia="zh-CN"/>
        </w:rPr>
        <w:drawing>
          <wp:anchor distT="0" distB="0" distL="114300" distR="114300" simplePos="0" relativeHeight="251661312" behindDoc="1" locked="0" layoutInCell="1" allowOverlap="1">
            <wp:simplePos x="0" y="0"/>
            <wp:positionH relativeFrom="column">
              <wp:posOffset>-54610</wp:posOffset>
            </wp:positionH>
            <wp:positionV relativeFrom="paragraph">
              <wp:posOffset>35560</wp:posOffset>
            </wp:positionV>
            <wp:extent cx="5610860" cy="7934960"/>
            <wp:effectExtent l="0" t="0" r="8890" b="8890"/>
            <wp:wrapNone/>
            <wp:docPr id="13" name="图片 13" descr="技术导则林草局(定稿）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技术导则林草局(定稿）_09"/>
                    <pic:cNvPicPr>
                      <a:picLocks noChangeAspect="1"/>
                    </pic:cNvPicPr>
                  </pic:nvPicPr>
                  <pic:blipFill>
                    <a:blip r:embed="rId15"/>
                    <a:stretch>
                      <a:fillRect/>
                    </a:stretch>
                  </pic:blipFill>
                  <pic:spPr>
                    <a:xfrm>
                      <a:off x="0" y="0"/>
                      <a:ext cx="5610860" cy="7934960"/>
                    </a:xfrm>
                    <a:prstGeom prst="rect">
                      <a:avLst/>
                    </a:prstGeom>
                  </pic:spPr>
                </pic:pic>
              </a:graphicData>
            </a:graphic>
          </wp:anchor>
        </w:drawing>
      </w:r>
    </w:p>
    <w:p w14:paraId="1E212491">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62ABC0EB">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235A9B53">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47563E4F">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2D523ECF">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428C5CFC">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674F1E83">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283525B7">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494648A5">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3614A03D">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3E8FED7D">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298EAB19">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5409671D">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0DA60D05">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21B4F51B">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28DDF4BF">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7C95FBC9">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247708C0">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6E09B4F1">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5CAFE730">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55ABE0B6">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6D18DBC5">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r>
        <w:rPr>
          <w:rFonts w:hint="default" w:ascii="黑体" w:hAnsi="黑体" w:eastAsia="黑体" w:cs="黑体"/>
          <w:color w:val="auto"/>
          <w:spacing w:val="0"/>
          <w:kern w:val="0"/>
          <w:sz w:val="30"/>
          <w:szCs w:val="32"/>
          <w:lang w:val="en-US" w:eastAsia="zh-CN"/>
        </w:rPr>
        <w:drawing>
          <wp:anchor distT="0" distB="0" distL="114300" distR="114300" simplePos="0" relativeHeight="251661312" behindDoc="1" locked="0" layoutInCell="1" allowOverlap="1">
            <wp:simplePos x="0" y="0"/>
            <wp:positionH relativeFrom="column">
              <wp:posOffset>13335</wp:posOffset>
            </wp:positionH>
            <wp:positionV relativeFrom="paragraph">
              <wp:posOffset>-5080</wp:posOffset>
            </wp:positionV>
            <wp:extent cx="5610860" cy="7934960"/>
            <wp:effectExtent l="0" t="0" r="8890" b="8890"/>
            <wp:wrapNone/>
            <wp:docPr id="14" name="图片 14" descr="技术导则林草局(定稿）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技术导则林草局(定稿）_10"/>
                    <pic:cNvPicPr>
                      <a:picLocks noChangeAspect="1"/>
                    </pic:cNvPicPr>
                  </pic:nvPicPr>
                  <pic:blipFill>
                    <a:blip r:embed="rId16"/>
                    <a:stretch>
                      <a:fillRect/>
                    </a:stretch>
                  </pic:blipFill>
                  <pic:spPr>
                    <a:xfrm>
                      <a:off x="0" y="0"/>
                      <a:ext cx="5610860" cy="7934960"/>
                    </a:xfrm>
                    <a:prstGeom prst="rect">
                      <a:avLst/>
                    </a:prstGeom>
                  </pic:spPr>
                </pic:pic>
              </a:graphicData>
            </a:graphic>
          </wp:anchor>
        </w:drawing>
      </w:r>
    </w:p>
    <w:p w14:paraId="79231A79">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37BA6971">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46034083">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3FD28A96">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5F4EC1F0">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6F030117">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6F8767F4">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3AF65D65">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590ADDA0">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34C1D72B">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529BD07C">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3B238107">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2FB44F0B">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52EC9E1E">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624E6621">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56883D8F">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16781631">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1DD70390">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31B0A586">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0A9CA8E1">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3265ECCA">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5410C565">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r>
        <w:rPr>
          <w:rFonts w:hint="default" w:ascii="黑体" w:hAnsi="黑体" w:eastAsia="黑体" w:cs="黑体"/>
          <w:color w:val="auto"/>
          <w:spacing w:val="0"/>
          <w:kern w:val="0"/>
          <w:sz w:val="30"/>
          <w:szCs w:val="32"/>
          <w:lang w:val="en-US" w:eastAsia="zh-CN"/>
        </w:rPr>
        <w:drawing>
          <wp:anchor distT="0" distB="0" distL="114300" distR="114300" simplePos="0" relativeHeight="251661312" behindDoc="1" locked="0" layoutInCell="1" allowOverlap="1">
            <wp:simplePos x="0" y="0"/>
            <wp:positionH relativeFrom="column">
              <wp:posOffset>-13335</wp:posOffset>
            </wp:positionH>
            <wp:positionV relativeFrom="paragraph">
              <wp:posOffset>-5080</wp:posOffset>
            </wp:positionV>
            <wp:extent cx="5610860" cy="7934960"/>
            <wp:effectExtent l="0" t="0" r="8890" b="8890"/>
            <wp:wrapNone/>
            <wp:docPr id="15" name="图片 15" descr="技术导则林草局(定稿）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技术导则林草局(定稿）_11"/>
                    <pic:cNvPicPr>
                      <a:picLocks noChangeAspect="1"/>
                    </pic:cNvPicPr>
                  </pic:nvPicPr>
                  <pic:blipFill>
                    <a:blip r:embed="rId17"/>
                    <a:stretch>
                      <a:fillRect/>
                    </a:stretch>
                  </pic:blipFill>
                  <pic:spPr>
                    <a:xfrm>
                      <a:off x="0" y="0"/>
                      <a:ext cx="5610860" cy="7934960"/>
                    </a:xfrm>
                    <a:prstGeom prst="rect">
                      <a:avLst/>
                    </a:prstGeom>
                  </pic:spPr>
                </pic:pic>
              </a:graphicData>
            </a:graphic>
          </wp:anchor>
        </w:drawing>
      </w:r>
    </w:p>
    <w:p w14:paraId="15E00918">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45A5C543">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78C49571">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7E08BA9F">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6BE2D212">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2D790B09">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0C438570">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71FE105E">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1D16A52C">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5B745839">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74277C28">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65CC828A">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7A3E0287">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7FC19042">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4540CFB0">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0E37CECD">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6F3F2DE1">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679DCA99">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0351B7C4">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38D9AE56">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2377FA60">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02DDE5C6">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r>
        <w:rPr>
          <w:rFonts w:hint="default" w:ascii="黑体" w:hAnsi="黑体" w:eastAsia="黑体" w:cs="黑体"/>
          <w:color w:val="auto"/>
          <w:spacing w:val="0"/>
          <w:kern w:val="0"/>
          <w:sz w:val="30"/>
          <w:szCs w:val="32"/>
          <w:lang w:val="en-US" w:eastAsia="zh-CN"/>
        </w:rPr>
        <w:drawing>
          <wp:anchor distT="0" distB="0" distL="114300" distR="114300" simplePos="0" relativeHeight="251661312" behindDoc="1" locked="0" layoutInCell="1" allowOverlap="1">
            <wp:simplePos x="0" y="0"/>
            <wp:positionH relativeFrom="column">
              <wp:posOffset>-27305</wp:posOffset>
            </wp:positionH>
            <wp:positionV relativeFrom="paragraph">
              <wp:posOffset>-5080</wp:posOffset>
            </wp:positionV>
            <wp:extent cx="5610860" cy="7934960"/>
            <wp:effectExtent l="0" t="0" r="8890" b="8890"/>
            <wp:wrapNone/>
            <wp:docPr id="16" name="图片 16" descr="技术导则林草局(定稿）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技术导则林草局(定稿）_12"/>
                    <pic:cNvPicPr>
                      <a:picLocks noChangeAspect="1"/>
                    </pic:cNvPicPr>
                  </pic:nvPicPr>
                  <pic:blipFill>
                    <a:blip r:embed="rId18"/>
                    <a:stretch>
                      <a:fillRect/>
                    </a:stretch>
                  </pic:blipFill>
                  <pic:spPr>
                    <a:xfrm>
                      <a:off x="0" y="0"/>
                      <a:ext cx="5610860" cy="7934960"/>
                    </a:xfrm>
                    <a:prstGeom prst="rect">
                      <a:avLst/>
                    </a:prstGeom>
                  </pic:spPr>
                </pic:pic>
              </a:graphicData>
            </a:graphic>
          </wp:anchor>
        </w:drawing>
      </w:r>
    </w:p>
    <w:p w14:paraId="61D603A8">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2DB2C5D7">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42713832">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67836C3B">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38949516">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5C43CA9E">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40B58088">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17091F0F">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1D7DF324">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2EDCC939">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4B9626B3">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68D0F5D8">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1B35CBA6">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148F8420">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52B9DEA5">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377DB949">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7C9D8D6D">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24A60C31">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64244248">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25C63EC5">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4E394DEB">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5D425932">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bookmarkStart w:id="1" w:name="_GoBack"/>
      <w:r>
        <w:rPr>
          <w:rFonts w:hint="default" w:ascii="黑体" w:hAnsi="黑体" w:eastAsia="黑体" w:cs="黑体"/>
          <w:color w:val="auto"/>
          <w:spacing w:val="0"/>
          <w:kern w:val="0"/>
          <w:sz w:val="30"/>
          <w:szCs w:val="32"/>
          <w:lang w:val="en-US" w:eastAsia="zh-CN"/>
        </w:rPr>
        <w:drawing>
          <wp:anchor distT="0" distB="0" distL="114300" distR="114300" simplePos="0" relativeHeight="251661312" behindDoc="1" locked="0" layoutInCell="1" allowOverlap="1">
            <wp:simplePos x="0" y="0"/>
            <wp:positionH relativeFrom="column">
              <wp:posOffset>-13335</wp:posOffset>
            </wp:positionH>
            <wp:positionV relativeFrom="paragraph">
              <wp:posOffset>49530</wp:posOffset>
            </wp:positionV>
            <wp:extent cx="5610860" cy="7934960"/>
            <wp:effectExtent l="0" t="0" r="8890" b="8890"/>
            <wp:wrapNone/>
            <wp:docPr id="17" name="图片 17" descr="技术导则林草局(定稿）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技术导则林草局(定稿）_13"/>
                    <pic:cNvPicPr>
                      <a:picLocks noChangeAspect="1"/>
                    </pic:cNvPicPr>
                  </pic:nvPicPr>
                  <pic:blipFill>
                    <a:blip r:embed="rId19"/>
                    <a:stretch>
                      <a:fillRect/>
                    </a:stretch>
                  </pic:blipFill>
                  <pic:spPr>
                    <a:xfrm>
                      <a:off x="0" y="0"/>
                      <a:ext cx="5610860" cy="7934960"/>
                    </a:xfrm>
                    <a:prstGeom prst="rect">
                      <a:avLst/>
                    </a:prstGeom>
                  </pic:spPr>
                </pic:pic>
              </a:graphicData>
            </a:graphic>
          </wp:anchor>
        </w:drawing>
      </w:r>
      <w:bookmarkEnd w:id="1"/>
    </w:p>
    <w:p w14:paraId="5583A859">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3DEABB63">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27671B17">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1C001EA3">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6ECBF6BB">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37A1CB59">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1BC1FFBC">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0772E103">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072DB1D7">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p w14:paraId="394EFC6C">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黑体" w:hAnsi="黑体" w:eastAsia="黑体" w:cs="黑体"/>
          <w:color w:val="auto"/>
          <w:spacing w:val="0"/>
          <w:kern w:val="0"/>
          <w:sz w:val="30"/>
          <w:szCs w:val="32"/>
          <w:lang w:val="en-US" w:eastAsia="zh-CN"/>
        </w:rPr>
      </w:pPr>
    </w:p>
    <w:sectPr>
      <w:pgSz w:w="11906" w:h="16838"/>
      <w:pgMar w:top="1701" w:right="1531" w:bottom="1701" w:left="1531" w:header="454" w:footer="510"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方正小标宋_GBK">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汉仪旗黑-105简">
    <w:panose1 w:val="00020600040101010101"/>
    <w:charset w:val="86"/>
    <w:family w:val="auto"/>
    <w:pitch w:val="default"/>
    <w:sig w:usb0="A00002BF" w:usb1="18EF7CFA" w:usb2="00000016" w:usb3="00000000" w:csb0="00040000" w:csb1="00000000"/>
  </w:font>
  <w:font w:name="方正舒体">
    <w:panose1 w:val="02010601030101010101"/>
    <w:charset w:val="86"/>
    <w:family w:val="auto"/>
    <w:pitch w:val="default"/>
    <w:sig w:usb0="00000003" w:usb1="080E0000" w:usb2="00000000" w:usb3="00000000" w:csb0="00040000" w:csb1="00000000"/>
  </w:font>
  <w:font w:name="方正兰亭纤黑简体">
    <w:panose1 w:val="03000509000000000000"/>
    <w:charset w:val="86"/>
    <w:family w:val="auto"/>
    <w:pitch w:val="default"/>
    <w:sig w:usb0="00000001" w:usb1="080E0000" w:usb2="00000000" w:usb3="00000000" w:csb0="00040000" w:csb1="00000000"/>
  </w:font>
  <w:font w:name="新宋体">
    <w:panose1 w:val="02010609030101010101"/>
    <w:charset w:val="86"/>
    <w:family w:val="auto"/>
    <w:pitch w:val="default"/>
    <w:sig w:usb0="00000203" w:usb1="288F0000" w:usb2="00000006" w:usb3="00000000" w:csb0="00040001" w:csb1="00000000"/>
  </w:font>
  <w:font w:name="幼圆">
    <w:panose1 w:val="0201050906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方正仿宋_GB2312">
    <w:panose1 w:val="02000000000000000000"/>
    <w:charset w:val="86"/>
    <w:family w:val="auto"/>
    <w:pitch w:val="default"/>
    <w:sig w:usb0="A00002BF" w:usb1="184F6CFA" w:usb2="00000012" w:usb3="00000000" w:csb0="00040001"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BFB8E">
    <w:pPr>
      <w:pStyle w:val="5"/>
    </w:pPr>
    <w:r>
      <w:rPr>
        <w:sz w:val="18"/>
      </w:rPr>
      <w:pict>
        <v:shape id="_x0000_s2049" o:spid="_x0000_s2049"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090D2F10">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CBC43">
    <w:pPr>
      <w:pStyle w:val="6"/>
      <w:pBdr>
        <w:bottom w:val="none" w:color="auto" w:sz="0" w:space="1"/>
      </w:pBdr>
      <w:tabs>
        <w:tab w:val="left" w:pos="84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rsids>
    <w:rsidRoot w:val="00C83FBE"/>
    <w:rsid w:val="00032FE1"/>
    <w:rsid w:val="000364B5"/>
    <w:rsid w:val="00057685"/>
    <w:rsid w:val="0009120A"/>
    <w:rsid w:val="00097B3C"/>
    <w:rsid w:val="000E4946"/>
    <w:rsid w:val="000F2DA5"/>
    <w:rsid w:val="000F409C"/>
    <w:rsid w:val="0012523B"/>
    <w:rsid w:val="00147427"/>
    <w:rsid w:val="00154033"/>
    <w:rsid w:val="0018393B"/>
    <w:rsid w:val="001908DC"/>
    <w:rsid w:val="001C4EB1"/>
    <w:rsid w:val="00213A85"/>
    <w:rsid w:val="00215C70"/>
    <w:rsid w:val="00233B09"/>
    <w:rsid w:val="002361A4"/>
    <w:rsid w:val="002734B2"/>
    <w:rsid w:val="002D7477"/>
    <w:rsid w:val="002E49F5"/>
    <w:rsid w:val="002F3FE1"/>
    <w:rsid w:val="00305A7F"/>
    <w:rsid w:val="00316C64"/>
    <w:rsid w:val="00357384"/>
    <w:rsid w:val="003875BC"/>
    <w:rsid w:val="003F10E7"/>
    <w:rsid w:val="003F6D83"/>
    <w:rsid w:val="00441926"/>
    <w:rsid w:val="00450F31"/>
    <w:rsid w:val="00472C77"/>
    <w:rsid w:val="00494A87"/>
    <w:rsid w:val="00542930"/>
    <w:rsid w:val="00567674"/>
    <w:rsid w:val="00576F29"/>
    <w:rsid w:val="005A349E"/>
    <w:rsid w:val="005D600C"/>
    <w:rsid w:val="006545A8"/>
    <w:rsid w:val="006F265F"/>
    <w:rsid w:val="00715E6C"/>
    <w:rsid w:val="007335B3"/>
    <w:rsid w:val="00747337"/>
    <w:rsid w:val="0079743A"/>
    <w:rsid w:val="007A2918"/>
    <w:rsid w:val="007D1CF0"/>
    <w:rsid w:val="007D3F40"/>
    <w:rsid w:val="00807CB6"/>
    <w:rsid w:val="00812C4B"/>
    <w:rsid w:val="008150E8"/>
    <w:rsid w:val="0083307C"/>
    <w:rsid w:val="00856171"/>
    <w:rsid w:val="008F2C82"/>
    <w:rsid w:val="008F3475"/>
    <w:rsid w:val="008F3DED"/>
    <w:rsid w:val="009224D5"/>
    <w:rsid w:val="00934E39"/>
    <w:rsid w:val="0094163F"/>
    <w:rsid w:val="00941756"/>
    <w:rsid w:val="009425B2"/>
    <w:rsid w:val="00943536"/>
    <w:rsid w:val="009A7A7D"/>
    <w:rsid w:val="009D1546"/>
    <w:rsid w:val="009F09A0"/>
    <w:rsid w:val="00A0719D"/>
    <w:rsid w:val="00A23172"/>
    <w:rsid w:val="00A62AE7"/>
    <w:rsid w:val="00A9027B"/>
    <w:rsid w:val="00A94231"/>
    <w:rsid w:val="00B05C95"/>
    <w:rsid w:val="00B06987"/>
    <w:rsid w:val="00B07B8D"/>
    <w:rsid w:val="00B131F3"/>
    <w:rsid w:val="00B47352"/>
    <w:rsid w:val="00B751FE"/>
    <w:rsid w:val="00BC336B"/>
    <w:rsid w:val="00BE04E8"/>
    <w:rsid w:val="00C04D07"/>
    <w:rsid w:val="00C10CE5"/>
    <w:rsid w:val="00C3219B"/>
    <w:rsid w:val="00C32DA7"/>
    <w:rsid w:val="00C4253B"/>
    <w:rsid w:val="00C52868"/>
    <w:rsid w:val="00C75988"/>
    <w:rsid w:val="00C83FBE"/>
    <w:rsid w:val="00CE6E6F"/>
    <w:rsid w:val="00CF1660"/>
    <w:rsid w:val="00D20E77"/>
    <w:rsid w:val="00D65A2D"/>
    <w:rsid w:val="00DD47B9"/>
    <w:rsid w:val="00DD56D5"/>
    <w:rsid w:val="00DE5E77"/>
    <w:rsid w:val="00E17C04"/>
    <w:rsid w:val="00E40B5E"/>
    <w:rsid w:val="00EA7CDE"/>
    <w:rsid w:val="00EC2BD1"/>
    <w:rsid w:val="00F03EC5"/>
    <w:rsid w:val="00F2418C"/>
    <w:rsid w:val="00F337EF"/>
    <w:rsid w:val="00F56FE7"/>
    <w:rsid w:val="00F803CE"/>
    <w:rsid w:val="00FB4833"/>
    <w:rsid w:val="00FF2516"/>
    <w:rsid w:val="0A8F2AD1"/>
    <w:rsid w:val="0B403514"/>
    <w:rsid w:val="0D7A7199"/>
    <w:rsid w:val="12303406"/>
    <w:rsid w:val="181B1B27"/>
    <w:rsid w:val="1830513C"/>
    <w:rsid w:val="184F1B71"/>
    <w:rsid w:val="1D1E3640"/>
    <w:rsid w:val="1E6179B5"/>
    <w:rsid w:val="1EBC23B4"/>
    <w:rsid w:val="2071538E"/>
    <w:rsid w:val="210A6B5A"/>
    <w:rsid w:val="2152255A"/>
    <w:rsid w:val="23B11E52"/>
    <w:rsid w:val="24167791"/>
    <w:rsid w:val="26C95B6A"/>
    <w:rsid w:val="2A7F6CE5"/>
    <w:rsid w:val="2B7D3737"/>
    <w:rsid w:val="2C3709F3"/>
    <w:rsid w:val="2CD45D9C"/>
    <w:rsid w:val="2CE20511"/>
    <w:rsid w:val="2E131358"/>
    <w:rsid w:val="2F1C3757"/>
    <w:rsid w:val="324D13FE"/>
    <w:rsid w:val="376F03B2"/>
    <w:rsid w:val="3B7A7680"/>
    <w:rsid w:val="3C6F297E"/>
    <w:rsid w:val="3F483DFB"/>
    <w:rsid w:val="3F60708E"/>
    <w:rsid w:val="46231023"/>
    <w:rsid w:val="46494C7F"/>
    <w:rsid w:val="50CD6DA5"/>
    <w:rsid w:val="55A04F4E"/>
    <w:rsid w:val="61065BA3"/>
    <w:rsid w:val="633A04FC"/>
    <w:rsid w:val="65B01829"/>
    <w:rsid w:val="65C46474"/>
    <w:rsid w:val="66031AFC"/>
    <w:rsid w:val="68086EF8"/>
    <w:rsid w:val="690A5184"/>
    <w:rsid w:val="6D6E405D"/>
    <w:rsid w:val="717E24A6"/>
    <w:rsid w:val="719463D9"/>
    <w:rsid w:val="728A5192"/>
    <w:rsid w:val="73D42A99"/>
    <w:rsid w:val="78E92B6D"/>
    <w:rsid w:val="79C37C18"/>
    <w:rsid w:val="7E65360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2"/>
    <w:semiHidden/>
    <w:unhideWhenUsed/>
    <w:qFormat/>
    <w:uiPriority w:val="99"/>
    <w:pPr>
      <w:spacing w:after="120"/>
    </w:pPr>
  </w:style>
  <w:style w:type="paragraph" w:styleId="3">
    <w:name w:val="Body Text Indent"/>
    <w:basedOn w:val="1"/>
    <w:link w:val="20"/>
    <w:semiHidden/>
    <w:unhideWhenUsed/>
    <w:qFormat/>
    <w:uiPriority w:val="99"/>
    <w:pPr>
      <w:spacing w:after="120"/>
      <w:ind w:left="420" w:leftChars="200"/>
    </w:pPr>
  </w:style>
  <w:style w:type="paragraph" w:styleId="4">
    <w:name w:val="Plain Text"/>
    <w:basedOn w:val="1"/>
    <w:qFormat/>
    <w:uiPriority w:val="0"/>
    <w:rPr>
      <w:rFonts w:ascii="宋体" w:hAnsi="Courier New" w:cs="Courier New"/>
      <w:szCs w:val="21"/>
    </w:rPr>
  </w:style>
  <w:style w:type="paragraph" w:styleId="5">
    <w:name w:val="footer"/>
    <w:basedOn w:val="1"/>
    <w:link w:val="15"/>
    <w:unhideWhenUsed/>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HTML Preformatted"/>
    <w:basedOn w:val="1"/>
    <w:link w:val="1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9">
    <w:name w:val="Body Text First Indent 2"/>
    <w:basedOn w:val="3"/>
    <w:next w:val="1"/>
    <w:link w:val="21"/>
    <w:qFormat/>
    <w:uiPriority w:val="0"/>
    <w:pPr>
      <w:widowControl/>
      <w:spacing w:before="100" w:beforeAutospacing="1" w:after="0" w:line="640" w:lineRule="exact"/>
      <w:ind w:left="0" w:leftChars="0" w:firstLine="420" w:firstLineChars="200"/>
    </w:pPr>
    <w:rPr>
      <w:rFonts w:ascii="Times New Roman" w:hAnsi="Times New Roman" w:eastAsia="仿宋_GB2312"/>
      <w:kern w:val="0"/>
      <w:sz w:val="32"/>
      <w:szCs w:val="32"/>
    </w:rPr>
  </w:style>
  <w:style w:type="character" w:styleId="12">
    <w:name w:val="Strong"/>
    <w:basedOn w:val="11"/>
    <w:qFormat/>
    <w:uiPriority w:val="22"/>
    <w:rPr>
      <w:b/>
      <w:bCs/>
    </w:rPr>
  </w:style>
  <w:style w:type="paragraph" w:customStyle="1" w:styleId="13">
    <w:name w:val="列出段落1"/>
    <w:basedOn w:val="1"/>
    <w:qFormat/>
    <w:uiPriority w:val="34"/>
    <w:pPr>
      <w:ind w:firstLine="420" w:firstLineChars="200"/>
    </w:pPr>
  </w:style>
  <w:style w:type="character" w:customStyle="1" w:styleId="14">
    <w:name w:val="页眉 字符"/>
    <w:basedOn w:val="11"/>
    <w:link w:val="6"/>
    <w:semiHidden/>
    <w:qFormat/>
    <w:uiPriority w:val="99"/>
    <w:rPr>
      <w:sz w:val="18"/>
      <w:szCs w:val="18"/>
    </w:rPr>
  </w:style>
  <w:style w:type="character" w:customStyle="1" w:styleId="15">
    <w:name w:val="页脚 字符"/>
    <w:basedOn w:val="11"/>
    <w:link w:val="5"/>
    <w:semiHidden/>
    <w:qFormat/>
    <w:uiPriority w:val="99"/>
    <w:rPr>
      <w:sz w:val="18"/>
      <w:szCs w:val="18"/>
    </w:rPr>
  </w:style>
  <w:style w:type="paragraph" w:customStyle="1" w:styleId="16">
    <w:name w:val="Default"/>
    <w:qFormat/>
    <w:uiPriority w:val="0"/>
    <w:pPr>
      <w:widowControl w:val="0"/>
      <w:autoSpaceDE w:val="0"/>
      <w:autoSpaceDN w:val="0"/>
      <w:adjustRightInd w:val="0"/>
    </w:pPr>
    <w:rPr>
      <w:rFonts w:ascii="微软雅黑" w:hAnsi="Calibri" w:eastAsia="微软雅黑" w:cs="微软雅黑"/>
      <w:color w:val="000000"/>
      <w:sz w:val="24"/>
      <w:szCs w:val="24"/>
      <w:lang w:val="en-US" w:eastAsia="zh-CN" w:bidi="ar-SA"/>
    </w:rPr>
  </w:style>
  <w:style w:type="character" w:customStyle="1" w:styleId="17">
    <w:name w:val="HTML 预设格式 Char"/>
    <w:basedOn w:val="11"/>
    <w:semiHidden/>
    <w:qFormat/>
    <w:uiPriority w:val="99"/>
    <w:rPr>
      <w:rFonts w:ascii="Courier New" w:hAnsi="Courier New" w:cs="Courier New" w:eastAsiaTheme="minorEastAsia"/>
      <w:kern w:val="2"/>
    </w:rPr>
  </w:style>
  <w:style w:type="character" w:customStyle="1" w:styleId="18">
    <w:name w:val="HTML 预设格式 字符"/>
    <w:link w:val="7"/>
    <w:qFormat/>
    <w:locked/>
    <w:uiPriority w:val="0"/>
    <w:rPr>
      <w:rFonts w:ascii="宋体" w:hAnsi="宋体" w:cs="宋体"/>
      <w:sz w:val="24"/>
      <w:szCs w:val="24"/>
    </w:rPr>
  </w:style>
  <w:style w:type="character" w:customStyle="1" w:styleId="19">
    <w:name w:val="apple-converted-space"/>
    <w:qFormat/>
    <w:uiPriority w:val="0"/>
  </w:style>
  <w:style w:type="character" w:customStyle="1" w:styleId="20">
    <w:name w:val="正文文本缩进 字符"/>
    <w:basedOn w:val="11"/>
    <w:link w:val="3"/>
    <w:semiHidden/>
    <w:qFormat/>
    <w:uiPriority w:val="99"/>
    <w:rPr>
      <w:rFonts w:asciiTheme="minorHAnsi" w:hAnsiTheme="minorHAnsi" w:eastAsiaTheme="minorEastAsia" w:cstheme="minorBidi"/>
      <w:kern w:val="2"/>
      <w:sz w:val="21"/>
      <w:szCs w:val="22"/>
    </w:rPr>
  </w:style>
  <w:style w:type="character" w:customStyle="1" w:styleId="21">
    <w:name w:val="正文文本首行缩进 2 字符"/>
    <w:basedOn w:val="20"/>
    <w:link w:val="9"/>
    <w:qFormat/>
    <w:uiPriority w:val="0"/>
    <w:rPr>
      <w:rFonts w:ascii="Times New Roman" w:hAnsi="Times New Roman" w:eastAsia="仿宋_GB2312" w:cstheme="minorBidi"/>
      <w:kern w:val="2"/>
      <w:sz w:val="32"/>
      <w:szCs w:val="32"/>
    </w:rPr>
  </w:style>
  <w:style w:type="character" w:customStyle="1" w:styleId="22">
    <w:name w:val="正文文本 字符"/>
    <w:basedOn w:val="11"/>
    <w:link w:val="2"/>
    <w:semiHidden/>
    <w:qFormat/>
    <w:uiPriority w:val="99"/>
    <w:rPr>
      <w:rFonts w:asciiTheme="minorHAnsi" w:hAnsiTheme="minorHAnsi" w:eastAsiaTheme="minorEastAsia" w:cstheme="minorBidi"/>
      <w:kern w:val="2"/>
      <w:sz w:val="21"/>
      <w:szCs w:val="22"/>
    </w:rPr>
  </w:style>
  <w:style w:type="paragraph" w:customStyle="1" w:styleId="23">
    <w:name w:val="UserStyle_0"/>
    <w:basedOn w:val="1"/>
    <w:qFormat/>
    <w:uiPriority w:val="0"/>
    <w:pPr>
      <w:ind w:left="420" w:leftChars="200"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btwise</Company>
  <Pages>25</Pages>
  <Words>2877</Words>
  <Characters>3120</Characters>
  <Lines>13</Lines>
  <Paragraphs>3</Paragraphs>
  <TotalTime>5</TotalTime>
  <ScaleCrop>false</ScaleCrop>
  <LinksUpToDate>false</LinksUpToDate>
  <CharactersWithSpaces>3339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2019-01-23T10:23:00Z</dcterms:created>
  <dc:creator>Windows 用户</dc:creator>
  <cp:lastModifiedBy>积木</cp:lastModifiedBy>
  <cp:lastPrinted>2026-04-27T23:35:00Z</cp:lastPrinted>
  <dcterms:modified xsi:type="dcterms:W3CDTF">2026-06-01T01:32:37Z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eyJoZGlkIjoiMmIxNmVjYjUzYjU0ZThkMDJkNjQxYjlkNTI5NTRjZmEiLCJ1c2VySWQiOiIyNDk3MTk1MTgifQ==</vt:lpwstr>
  </property>
  <property fmtid="{D5CDD505-2E9C-101B-9397-08002B2CF9AE}" pid="4" name="ICV">
    <vt:lpwstr>772E7C8D7C3D44D5BE09C3632BF8EB42_12</vt:lpwstr>
  </property>
</Properties>
</file>