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743D88">
      <w:pPr>
        <w:rPr>
          <w:rFonts w:cs="Times New Roman" w:eastAsiaTheme="minorEastAsia"/>
        </w:rPr>
      </w:pPr>
      <w:r>
        <w:rPr>
          <w:rFonts w:cs="Times New Roman"/>
        </w:rPr>
        <w:drawing>
          <wp:anchor distT="0" distB="0" distL="114300" distR="114300" simplePos="0" relativeHeight="251659264" behindDoc="0" locked="0" layoutInCell="1" allowOverlap="1">
            <wp:simplePos x="0" y="0"/>
            <wp:positionH relativeFrom="column">
              <wp:posOffset>-101600</wp:posOffset>
            </wp:positionH>
            <wp:positionV relativeFrom="paragraph">
              <wp:posOffset>28575</wp:posOffset>
            </wp:positionV>
            <wp:extent cx="1443990" cy="1114425"/>
            <wp:effectExtent l="0" t="0" r="3810" b="9525"/>
            <wp:wrapSquare wrapText="bothSides"/>
            <wp:docPr id="1726800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00550" name="图片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443990" cy="1114425"/>
                    </a:xfrm>
                    <a:prstGeom prst="rect">
                      <a:avLst/>
                    </a:prstGeom>
                  </pic:spPr>
                </pic:pic>
              </a:graphicData>
            </a:graphic>
          </wp:anchor>
        </w:drawing>
      </w:r>
    </w:p>
    <w:p w14:paraId="4EA1BDCA">
      <w:pPr>
        <w:rPr>
          <w:rFonts w:cs="Times New Roman"/>
          <w:sz w:val="30"/>
          <w:szCs w:val="30"/>
        </w:rPr>
      </w:pPr>
      <w:r>
        <w:rPr>
          <w:rFonts w:cs="Times New Roman" w:eastAsiaTheme="minorEastAsia"/>
        </w:rPr>
        <w:t xml:space="preserve">                  </w:t>
      </w:r>
      <w:r>
        <w:rPr>
          <w:rFonts w:cs="Times New Roman"/>
          <w:sz w:val="30"/>
          <w:szCs w:val="30"/>
        </w:rPr>
        <w:t>项目编号：</w:t>
      </w:r>
      <w:bookmarkStart w:id="0" w:name="_Hlk191371036"/>
      <w:r>
        <w:rPr>
          <w:rFonts w:cs="Times New Roman"/>
          <w:sz w:val="30"/>
          <w:szCs w:val="30"/>
        </w:rPr>
        <w:t>MKSZ20</w:t>
      </w:r>
      <w:r>
        <w:rPr>
          <w:rFonts w:hint="eastAsia" w:cs="Times New Roman"/>
          <w:sz w:val="30"/>
          <w:szCs w:val="30"/>
        </w:rPr>
        <w:t>24</w:t>
      </w:r>
      <w:r>
        <w:rPr>
          <w:rFonts w:cs="Times New Roman"/>
          <w:sz w:val="30"/>
          <w:szCs w:val="30"/>
        </w:rPr>
        <w:t>HA2</w:t>
      </w:r>
      <w:r>
        <w:rPr>
          <w:rFonts w:hint="eastAsia" w:cs="Times New Roman"/>
          <w:sz w:val="30"/>
          <w:szCs w:val="30"/>
        </w:rPr>
        <w:t>19</w:t>
      </w:r>
      <w:bookmarkEnd w:id="0"/>
    </w:p>
    <w:p w14:paraId="2DFAC287">
      <w:pPr>
        <w:rPr>
          <w:rFonts w:cs="Times New Roman" w:eastAsiaTheme="minorEastAsia"/>
        </w:rPr>
      </w:pPr>
    </w:p>
    <w:p w14:paraId="08058E36">
      <w:pPr>
        <w:rPr>
          <w:rFonts w:cs="Times New Roman" w:eastAsiaTheme="minorEastAsia"/>
        </w:rPr>
      </w:pPr>
    </w:p>
    <w:p w14:paraId="2E34F1AE">
      <w:pPr>
        <w:adjustRightInd w:val="0"/>
        <w:jc w:val="center"/>
        <w:rPr>
          <w:rFonts w:cs="Times New Roman" w:eastAsiaTheme="minorEastAsia"/>
          <w:sz w:val="48"/>
          <w:szCs w:val="48"/>
        </w:rPr>
      </w:pPr>
    </w:p>
    <w:p w14:paraId="1427C3B3">
      <w:pPr>
        <w:adjustRightInd w:val="0"/>
        <w:jc w:val="center"/>
        <w:rPr>
          <w:rFonts w:cs="Times New Roman" w:eastAsiaTheme="minorEastAsia"/>
          <w:sz w:val="48"/>
          <w:szCs w:val="48"/>
        </w:rPr>
      </w:pPr>
    </w:p>
    <w:p w14:paraId="582D66F0">
      <w:pPr>
        <w:adjustRightInd w:val="0"/>
        <w:jc w:val="center"/>
        <w:rPr>
          <w:rFonts w:cs="Times New Roman"/>
          <w:sz w:val="52"/>
          <w:szCs w:val="52"/>
        </w:rPr>
      </w:pPr>
      <w:r>
        <w:rPr>
          <w:rFonts w:cs="Times New Roman"/>
          <w:sz w:val="52"/>
          <w:szCs w:val="52"/>
        </w:rPr>
        <w:t>包头市九原区水网建设规划</w:t>
      </w:r>
    </w:p>
    <w:p w14:paraId="60D2DD4D">
      <w:pPr>
        <w:adjustRightInd w:val="0"/>
        <w:jc w:val="center"/>
        <w:rPr>
          <w:rFonts w:cs="Times New Roman"/>
          <w:sz w:val="52"/>
          <w:szCs w:val="52"/>
        </w:rPr>
      </w:pPr>
      <w:r>
        <w:rPr>
          <w:rFonts w:cs="Times New Roman"/>
          <w:sz w:val="52"/>
          <w:szCs w:val="52"/>
        </w:rPr>
        <w:t>（2023-2035）</w:t>
      </w:r>
    </w:p>
    <w:p w14:paraId="1480C431">
      <w:pPr>
        <w:jc w:val="center"/>
        <w:rPr>
          <w:rFonts w:cs="Times New Roman" w:eastAsiaTheme="minorEastAsia"/>
        </w:rPr>
      </w:pPr>
    </w:p>
    <w:p w14:paraId="2AF350E3">
      <w:pPr>
        <w:jc w:val="center"/>
        <w:rPr>
          <w:rFonts w:cs="Times New Roman" w:eastAsiaTheme="minorEastAsia"/>
        </w:rPr>
      </w:pPr>
    </w:p>
    <w:p w14:paraId="5372DA13">
      <w:pPr>
        <w:jc w:val="center"/>
        <w:rPr>
          <w:rFonts w:cs="Times New Roman" w:eastAsiaTheme="minorEastAsia"/>
        </w:rPr>
      </w:pPr>
    </w:p>
    <w:p w14:paraId="7824DAEC">
      <w:pPr>
        <w:jc w:val="center"/>
        <w:rPr>
          <w:rFonts w:cs="Times New Roman" w:eastAsiaTheme="minorEastAsia"/>
        </w:rPr>
      </w:pPr>
    </w:p>
    <w:p w14:paraId="38EF8FA3">
      <w:pPr>
        <w:jc w:val="center"/>
        <w:rPr>
          <w:rFonts w:cs="Times New Roman" w:eastAsiaTheme="minorEastAsia"/>
        </w:rPr>
      </w:pPr>
    </w:p>
    <w:p w14:paraId="59663C73">
      <w:pPr>
        <w:jc w:val="center"/>
        <w:rPr>
          <w:rFonts w:cs="Times New Roman" w:eastAsiaTheme="minorEastAsia"/>
        </w:rPr>
      </w:pPr>
    </w:p>
    <w:p w14:paraId="4229F89F">
      <w:pPr>
        <w:jc w:val="center"/>
        <w:rPr>
          <w:rFonts w:cs="Times New Roman" w:eastAsiaTheme="minorEastAsia"/>
        </w:rPr>
      </w:pPr>
    </w:p>
    <w:p w14:paraId="5D9B545C">
      <w:pPr>
        <w:jc w:val="center"/>
        <w:rPr>
          <w:rFonts w:cs="Times New Roman" w:eastAsiaTheme="minorEastAsia"/>
        </w:rPr>
      </w:pPr>
    </w:p>
    <w:p w14:paraId="2B0041F0">
      <w:pPr>
        <w:jc w:val="center"/>
        <w:rPr>
          <w:rFonts w:cs="Times New Roman" w:eastAsiaTheme="minorEastAsia"/>
        </w:rPr>
      </w:pPr>
    </w:p>
    <w:p w14:paraId="43EE58F9">
      <w:pPr>
        <w:jc w:val="center"/>
        <w:rPr>
          <w:rFonts w:cs="Times New Roman" w:eastAsiaTheme="minorEastAsia"/>
        </w:rPr>
      </w:pPr>
    </w:p>
    <w:p w14:paraId="29D8188F">
      <w:pPr>
        <w:jc w:val="center"/>
        <w:rPr>
          <w:rFonts w:cs="Times New Roman" w:eastAsiaTheme="minorEastAsia"/>
        </w:rPr>
      </w:pPr>
    </w:p>
    <w:p w14:paraId="716784C6">
      <w:pPr>
        <w:jc w:val="center"/>
        <w:rPr>
          <w:rFonts w:cs="Times New Roman" w:eastAsiaTheme="minorEastAsia"/>
        </w:rPr>
      </w:pPr>
    </w:p>
    <w:p w14:paraId="2B5D8B87">
      <w:pPr>
        <w:jc w:val="center"/>
        <w:rPr>
          <w:rFonts w:cs="Times New Roman" w:eastAsiaTheme="minorEastAsia"/>
        </w:rPr>
      </w:pPr>
    </w:p>
    <w:p w14:paraId="3EBE8D97">
      <w:pPr>
        <w:adjustRightInd w:val="0"/>
        <w:jc w:val="center"/>
        <w:rPr>
          <w:rFonts w:cs="Times New Roman"/>
          <w:color w:val="000000" w:themeColor="text1"/>
          <w:sz w:val="36"/>
          <w:szCs w:val="36"/>
          <w14:textFill>
            <w14:solidFill>
              <w14:schemeClr w14:val="tx1"/>
            </w14:solidFill>
          </w14:textFill>
        </w:rPr>
      </w:pPr>
    </w:p>
    <w:p w14:paraId="2F4AA1A3">
      <w:pPr>
        <w:adjustRightInd w:val="0"/>
        <w:jc w:val="center"/>
        <w:rPr>
          <w:rFonts w:cs="Times New Roman"/>
          <w:color w:val="000000" w:themeColor="text1"/>
          <w:sz w:val="36"/>
          <w:szCs w:val="36"/>
          <w14:textFill>
            <w14:solidFill>
              <w14:schemeClr w14:val="tx1"/>
            </w14:solidFill>
          </w14:textFill>
        </w:rPr>
      </w:pPr>
      <w:r>
        <w:rPr>
          <w:rFonts w:cs="Times New Roman"/>
          <w:color w:val="000000" w:themeColor="text1"/>
          <w:sz w:val="36"/>
          <w:szCs w:val="36"/>
          <w14:textFill>
            <w14:solidFill>
              <w14:schemeClr w14:val="tx1"/>
            </w14:solidFill>
          </w14:textFill>
        </w:rPr>
        <w:t>水利部牧区水利科学研究所</w:t>
      </w:r>
    </w:p>
    <w:p w14:paraId="5D27C481">
      <w:pPr>
        <w:adjustRightInd w:val="0"/>
        <w:jc w:val="center"/>
        <w:rPr>
          <w:rFonts w:cs="Times New Roman"/>
          <w:color w:val="000000" w:themeColor="text1"/>
          <w:sz w:val="36"/>
          <w:szCs w:val="36"/>
          <w14:textFill>
            <w14:solidFill>
              <w14:schemeClr w14:val="tx1"/>
            </w14:solidFill>
          </w14:textFill>
        </w:rPr>
      </w:pPr>
      <w:r>
        <w:rPr>
          <w:rFonts w:cs="Times New Roman"/>
          <w:color w:val="000000" w:themeColor="text1"/>
          <w:sz w:val="36"/>
          <w:szCs w:val="36"/>
          <w14:textFill>
            <w14:solidFill>
              <w14:schemeClr w14:val="tx1"/>
            </w14:solidFill>
          </w14:textFill>
        </w:rPr>
        <w:t>2024年12月</w:t>
      </w:r>
    </w:p>
    <w:p w14:paraId="59AA5DFB">
      <w:pPr>
        <w:rPr>
          <w:rFonts w:cs="Times New Roman" w:eastAsiaTheme="minorEastAsia"/>
          <w:color w:val="000000" w:themeColor="text1"/>
          <w:sz w:val="32"/>
          <w:szCs w:val="32"/>
          <w14:textFill>
            <w14:solidFill>
              <w14:schemeClr w14:val="tx1"/>
            </w14:solidFill>
          </w14:textFill>
        </w:rPr>
      </w:pPr>
      <w:r>
        <w:rPr>
          <w:rFonts w:cs="Times New Roman" w:eastAsiaTheme="minorEastAsia"/>
          <w:color w:val="000000" w:themeColor="text1"/>
          <w:sz w:val="32"/>
          <w:szCs w:val="32"/>
          <w14:textFill>
            <w14:solidFill>
              <w14:schemeClr w14:val="tx1"/>
            </w14:solidFill>
          </w14:textFill>
        </w:rPr>
        <w:br w:type="page"/>
      </w:r>
    </w:p>
    <w:p w14:paraId="77E44D35">
      <w:pPr>
        <w:adjustRightInd w:val="0"/>
        <w:jc w:val="center"/>
        <w:rPr>
          <w:rFonts w:cs="Times New Roman" w:eastAsiaTheme="minorEastAsia"/>
          <w:color w:val="000000" w:themeColor="text1"/>
          <w:sz w:val="32"/>
          <w:szCs w:val="32"/>
          <w14:textFill>
            <w14:solidFill>
              <w14:schemeClr w14:val="tx1"/>
            </w14:solidFill>
          </w14:textFill>
        </w:rPr>
      </w:pPr>
    </w:p>
    <w:p w14:paraId="0C72E118">
      <w:pPr>
        <w:adjustRightInd w:val="0"/>
        <w:spacing w:line="720" w:lineRule="auto"/>
        <w:rPr>
          <w:rFonts w:cs="Times New Roman" w:eastAsiaTheme="minorEastAsia"/>
          <w:color w:val="000000" w:themeColor="text1"/>
          <w:sz w:val="32"/>
          <w:szCs w:val="32"/>
          <w14:textFill>
            <w14:solidFill>
              <w14:schemeClr w14:val="tx1"/>
            </w14:solidFill>
          </w14:textFill>
        </w:rPr>
      </w:pPr>
      <w:r>
        <w:rPr>
          <w:rFonts w:cs="Times New Roman" w:eastAsiaTheme="minorEastAsia"/>
          <w:color w:val="000000" w:themeColor="text1"/>
          <w:sz w:val="32"/>
          <w:szCs w:val="32"/>
          <w14:textFill>
            <w14:solidFill>
              <w14:schemeClr w14:val="tx1"/>
            </w14:solidFill>
          </w14:textFill>
        </w:rPr>
        <w:br w:type="page"/>
      </w:r>
      <w:r>
        <w:rPr>
          <w:rFonts w:cs="Times New Roman" w:eastAsiaTheme="minorEastAsia"/>
          <w:color w:val="000000" w:themeColor="text1"/>
          <w:sz w:val="32"/>
          <w:szCs w:val="32"/>
          <w14:textFill>
            <w14:solidFill>
              <w14:schemeClr w14:val="tx1"/>
            </w14:solidFill>
          </w14:textFill>
        </w:rPr>
        <w:drawing>
          <wp:inline distT="0" distB="0" distL="0" distR="0">
            <wp:extent cx="5274310" cy="8140700"/>
            <wp:effectExtent l="0" t="0" r="2540" b="0"/>
            <wp:docPr id="151395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5600" name="图片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8140700"/>
                    </a:xfrm>
                    <a:prstGeom prst="rect">
                      <a:avLst/>
                    </a:prstGeom>
                  </pic:spPr>
                </pic:pic>
              </a:graphicData>
            </a:graphic>
          </wp:inline>
        </w:drawing>
      </w:r>
    </w:p>
    <w:p w14:paraId="2E320C7E">
      <w:pPr>
        <w:adjustRightInd w:val="0"/>
        <w:spacing w:line="480" w:lineRule="auto"/>
        <w:rPr>
          <w:rFonts w:cs="Times New Roman"/>
          <w:sz w:val="32"/>
          <w:szCs w:val="32"/>
        </w:rPr>
      </w:pPr>
      <w:r>
        <w:rPr>
          <w:rFonts w:cs="Times New Roman"/>
          <w:b/>
          <w:bCs/>
          <w:sz w:val="32"/>
          <w:szCs w:val="32"/>
        </w:rPr>
        <w:t>项目名称：</w:t>
      </w:r>
      <w:r>
        <w:rPr>
          <w:rFonts w:cs="Times New Roman"/>
          <w:sz w:val="32"/>
          <w:szCs w:val="32"/>
        </w:rPr>
        <w:t>包头市九原区水网建设规划</w:t>
      </w:r>
    </w:p>
    <w:p w14:paraId="09BCD1B3">
      <w:pPr>
        <w:adjustRightInd w:val="0"/>
        <w:spacing w:line="480" w:lineRule="auto"/>
        <w:rPr>
          <w:rFonts w:cs="Times New Roman"/>
          <w:b/>
          <w:bCs/>
          <w:sz w:val="32"/>
          <w:szCs w:val="32"/>
        </w:rPr>
      </w:pPr>
      <w:r>
        <w:rPr>
          <w:rFonts w:cs="Times New Roman"/>
          <w:b/>
          <w:bCs/>
          <w:sz w:val="32"/>
          <w:szCs w:val="32"/>
        </w:rPr>
        <w:t>项目编号：</w:t>
      </w:r>
      <w:r>
        <w:rPr>
          <w:rFonts w:cs="Times New Roman"/>
          <w:sz w:val="32"/>
          <w:szCs w:val="32"/>
        </w:rPr>
        <w:t>MKSZ2024HA219</w:t>
      </w:r>
    </w:p>
    <w:p w14:paraId="51160F25">
      <w:pPr>
        <w:adjustRightInd w:val="0"/>
        <w:spacing w:line="480" w:lineRule="auto"/>
        <w:rPr>
          <w:rFonts w:cs="Times New Roman"/>
          <w:sz w:val="32"/>
          <w:szCs w:val="32"/>
        </w:rPr>
      </w:pPr>
      <w:r>
        <w:rPr>
          <w:rFonts w:cs="Times New Roman"/>
          <w:b/>
          <w:bCs/>
          <w:sz w:val="32"/>
          <w:szCs w:val="32"/>
        </w:rPr>
        <w:t>委托单位：</w:t>
      </w:r>
      <w:r>
        <w:rPr>
          <w:rFonts w:cs="Times New Roman"/>
          <w:sz w:val="32"/>
          <w:szCs w:val="32"/>
        </w:rPr>
        <w:t>包头市九原区水务局</w:t>
      </w:r>
    </w:p>
    <w:p w14:paraId="564FE252">
      <w:pPr>
        <w:adjustRightInd w:val="0"/>
        <w:spacing w:line="480" w:lineRule="auto"/>
        <w:rPr>
          <w:rFonts w:cs="Times New Roman"/>
          <w:sz w:val="32"/>
          <w:szCs w:val="32"/>
        </w:rPr>
      </w:pPr>
      <w:r>
        <w:rPr>
          <w:rFonts w:cs="Times New Roman"/>
          <w:b/>
          <w:bCs/>
          <w:sz w:val="32"/>
          <w:szCs w:val="32"/>
        </w:rPr>
        <w:t>承担单位：</w:t>
      </w:r>
      <w:r>
        <w:rPr>
          <w:rFonts w:cs="Times New Roman"/>
          <w:sz w:val="32"/>
          <w:szCs w:val="32"/>
        </w:rPr>
        <w:t>水利部牧区水利科学研究所</w:t>
      </w:r>
    </w:p>
    <w:p w14:paraId="4D546C9F">
      <w:pPr>
        <w:adjustRightInd w:val="0"/>
        <w:spacing w:line="480" w:lineRule="auto"/>
        <w:rPr>
          <w:rFonts w:cs="Times New Roman"/>
          <w:sz w:val="32"/>
          <w:szCs w:val="32"/>
        </w:rPr>
      </w:pPr>
      <w:r>
        <w:rPr>
          <w:rFonts w:cs="Times New Roman"/>
          <w:b/>
          <w:bCs/>
          <w:sz w:val="32"/>
          <w:szCs w:val="32"/>
        </w:rPr>
        <w:t>批    准：</w:t>
      </w:r>
      <w:r>
        <w:rPr>
          <w:rFonts w:cs="Times New Roman"/>
          <w:sz w:val="32"/>
          <w:szCs w:val="32"/>
        </w:rPr>
        <w:t>徐  冰（所  长 教授级高工）</w:t>
      </w:r>
    </w:p>
    <w:p w14:paraId="51AA427F">
      <w:pPr>
        <w:adjustRightInd w:val="0"/>
        <w:spacing w:line="480" w:lineRule="auto"/>
        <w:rPr>
          <w:rFonts w:cs="Times New Roman"/>
          <w:sz w:val="32"/>
          <w:szCs w:val="32"/>
        </w:rPr>
      </w:pPr>
      <w:r>
        <w:rPr>
          <w:rFonts w:cs="Times New Roman"/>
          <w:b/>
          <w:bCs/>
          <w:sz w:val="32"/>
          <w:szCs w:val="32"/>
        </w:rPr>
        <w:t>报告审核人：</w:t>
      </w:r>
      <w:r>
        <w:rPr>
          <w:rFonts w:cs="Times New Roman"/>
          <w:sz w:val="32"/>
          <w:szCs w:val="32"/>
        </w:rPr>
        <w:t>郭建英（正高）</w:t>
      </w:r>
    </w:p>
    <w:p w14:paraId="0BC5F2C2">
      <w:pPr>
        <w:adjustRightInd w:val="0"/>
        <w:spacing w:line="480" w:lineRule="auto"/>
        <w:rPr>
          <w:rFonts w:cs="Times New Roman"/>
          <w:sz w:val="32"/>
          <w:szCs w:val="32"/>
        </w:rPr>
      </w:pPr>
      <w:r>
        <w:rPr>
          <w:rFonts w:cs="Times New Roman"/>
          <w:b/>
          <w:bCs/>
          <w:sz w:val="32"/>
          <w:szCs w:val="32"/>
        </w:rPr>
        <w:t>报告审查人：</w:t>
      </w:r>
      <w:r>
        <w:rPr>
          <w:rFonts w:cs="Times New Roman"/>
          <w:sz w:val="32"/>
          <w:szCs w:val="32"/>
        </w:rPr>
        <w:t>刘铁军（正高）</w:t>
      </w:r>
    </w:p>
    <w:p w14:paraId="43FEB02D">
      <w:pPr>
        <w:adjustRightInd w:val="0"/>
        <w:spacing w:line="480" w:lineRule="auto"/>
        <w:rPr>
          <w:rFonts w:cs="Times New Roman"/>
          <w:sz w:val="32"/>
          <w:szCs w:val="32"/>
        </w:rPr>
      </w:pPr>
      <w:r>
        <w:rPr>
          <w:rFonts w:cs="Times New Roman"/>
          <w:b/>
          <w:bCs/>
          <w:sz w:val="32"/>
          <w:szCs w:val="32"/>
        </w:rPr>
        <w:t>项目负责人：</w:t>
      </w:r>
      <w:r>
        <w:rPr>
          <w:rFonts w:cs="Times New Roman"/>
          <w:sz w:val="32"/>
          <w:szCs w:val="32"/>
        </w:rPr>
        <w:t>刘华琳（高工）</w:t>
      </w:r>
    </w:p>
    <w:p w14:paraId="0FA37A81">
      <w:pPr>
        <w:adjustRightInd w:val="0"/>
        <w:rPr>
          <w:rFonts w:cs="Times New Roman"/>
          <w:sz w:val="32"/>
          <w:szCs w:val="32"/>
        </w:rPr>
      </w:pPr>
      <w:r>
        <w:rPr>
          <w:rFonts w:cs="Times New Roman"/>
          <w:b/>
          <w:bCs/>
          <w:sz w:val="32"/>
          <w:szCs w:val="32"/>
        </w:rPr>
        <w:t>水利部牧区水利科学研究所：</w:t>
      </w:r>
      <w:r>
        <w:rPr>
          <w:rFonts w:cs="Times New Roman"/>
          <w:sz w:val="32"/>
          <w:szCs w:val="32"/>
        </w:rPr>
        <w:t>刘华琳  纪  刚</w:t>
      </w:r>
      <w:r>
        <w:rPr>
          <w:rFonts w:hint="eastAsia" w:cs="Times New Roman"/>
          <w:sz w:val="32"/>
          <w:szCs w:val="32"/>
        </w:rPr>
        <w:t xml:space="preserve">  </w:t>
      </w:r>
      <w:r>
        <w:rPr>
          <w:rFonts w:cs="Times New Roman"/>
          <w:sz w:val="32"/>
          <w:szCs w:val="32"/>
        </w:rPr>
        <w:t>梁文涛</w:t>
      </w:r>
    </w:p>
    <w:p w14:paraId="2589132B">
      <w:pPr>
        <w:adjustRightInd w:val="0"/>
        <w:ind w:firstLine="4160" w:firstLineChars="1300"/>
        <w:rPr>
          <w:rFonts w:cs="Times New Roman"/>
          <w:sz w:val="32"/>
          <w:szCs w:val="32"/>
        </w:rPr>
      </w:pPr>
      <w:r>
        <w:rPr>
          <w:rFonts w:hint="eastAsia" w:cs="Times New Roman"/>
          <w:sz w:val="32"/>
          <w:szCs w:val="32"/>
        </w:rPr>
        <w:t>白雅文  王  瑾  彭  凯</w:t>
      </w:r>
    </w:p>
    <w:p w14:paraId="41109448">
      <w:pPr>
        <w:adjustRightInd w:val="0"/>
        <w:ind w:firstLine="4160" w:firstLineChars="1300"/>
        <w:rPr>
          <w:rFonts w:cs="Times New Roman"/>
          <w:sz w:val="32"/>
          <w:szCs w:val="32"/>
        </w:rPr>
      </w:pPr>
      <w:r>
        <w:rPr>
          <w:rFonts w:cs="Times New Roman"/>
          <w:sz w:val="32"/>
          <w:szCs w:val="32"/>
        </w:rPr>
        <w:t>李凯旋</w:t>
      </w:r>
      <w:r>
        <w:rPr>
          <w:rFonts w:hint="eastAsia" w:cs="Times New Roman"/>
          <w:sz w:val="32"/>
          <w:szCs w:val="32"/>
        </w:rPr>
        <w:t xml:space="preserve">  </w:t>
      </w:r>
      <w:r>
        <w:rPr>
          <w:rFonts w:cs="Times New Roman"/>
          <w:sz w:val="32"/>
          <w:szCs w:val="32"/>
        </w:rPr>
        <w:t>韩振华  冯雅茹</w:t>
      </w:r>
    </w:p>
    <w:p w14:paraId="16ECF64B">
      <w:pPr>
        <w:adjustRightInd w:val="0"/>
        <w:ind w:firstLine="4160" w:firstLineChars="1300"/>
        <w:rPr>
          <w:rFonts w:cs="Times New Roman"/>
          <w:sz w:val="32"/>
          <w:szCs w:val="32"/>
        </w:rPr>
      </w:pPr>
      <w:r>
        <w:rPr>
          <w:rFonts w:cs="Times New Roman"/>
          <w:sz w:val="32"/>
          <w:szCs w:val="32"/>
        </w:rPr>
        <w:t>焦  瑞</w:t>
      </w:r>
      <w:r>
        <w:rPr>
          <w:rFonts w:hint="eastAsia" w:cs="Times New Roman"/>
          <w:sz w:val="32"/>
          <w:szCs w:val="32"/>
        </w:rPr>
        <w:t xml:space="preserve">  </w:t>
      </w:r>
      <w:r>
        <w:rPr>
          <w:rFonts w:cs="Times New Roman"/>
          <w:sz w:val="32"/>
          <w:szCs w:val="32"/>
        </w:rPr>
        <w:t>张燕飞  龙胤慧</w:t>
      </w:r>
    </w:p>
    <w:p w14:paraId="1CB994ED">
      <w:pPr>
        <w:adjustRightInd w:val="0"/>
        <w:ind w:firstLine="4160" w:firstLineChars="1300"/>
        <w:rPr>
          <w:rFonts w:cs="Times New Roman"/>
          <w:sz w:val="32"/>
          <w:szCs w:val="32"/>
        </w:rPr>
      </w:pPr>
      <w:r>
        <w:rPr>
          <w:rFonts w:cs="Times New Roman"/>
          <w:sz w:val="32"/>
          <w:szCs w:val="32"/>
        </w:rPr>
        <w:t>李紫晶</w:t>
      </w:r>
      <w:r>
        <w:rPr>
          <w:rFonts w:hint="eastAsia" w:cs="Times New Roman"/>
          <w:sz w:val="32"/>
          <w:szCs w:val="32"/>
        </w:rPr>
        <w:t xml:space="preserve">  </w:t>
      </w:r>
    </w:p>
    <w:p w14:paraId="17383FD0">
      <w:pPr>
        <w:adjustRightInd w:val="0"/>
        <w:ind w:left="2088" w:hanging="2080" w:hangingChars="650"/>
        <w:rPr>
          <w:rFonts w:cs="Times New Roman"/>
          <w:sz w:val="32"/>
          <w:szCs w:val="32"/>
        </w:rPr>
      </w:pPr>
      <w:r>
        <w:rPr>
          <w:rFonts w:cs="Times New Roman"/>
          <w:b/>
          <w:bCs/>
          <w:sz w:val="32"/>
          <w:szCs w:val="32"/>
        </w:rPr>
        <w:t>包头市九原区水务局：</w:t>
      </w:r>
      <w:r>
        <w:rPr>
          <w:rFonts w:hint="eastAsia" w:cs="Times New Roman"/>
          <w:b/>
          <w:bCs/>
          <w:sz w:val="32"/>
          <w:szCs w:val="32"/>
        </w:rPr>
        <w:t xml:space="preserve"> </w:t>
      </w:r>
      <w:r>
        <w:rPr>
          <w:rFonts w:hint="eastAsia" w:cs="Times New Roman"/>
          <w:sz w:val="32"/>
          <w:szCs w:val="32"/>
        </w:rPr>
        <w:t>齐佳诚 周金兰 李文燕 邢彦博</w:t>
      </w:r>
    </w:p>
    <w:p w14:paraId="7095B8C5">
      <w:pPr>
        <w:adjustRightInd w:val="0"/>
        <w:ind w:left="1440" w:leftChars="600" w:firstLine="1920" w:firstLineChars="600"/>
        <w:rPr>
          <w:rFonts w:cs="Times New Roman"/>
          <w:sz w:val="32"/>
          <w:szCs w:val="32"/>
        </w:rPr>
      </w:pPr>
      <w:r>
        <w:rPr>
          <w:rFonts w:hint="eastAsia" w:cs="Times New Roman"/>
          <w:sz w:val="32"/>
          <w:szCs w:val="32"/>
        </w:rPr>
        <w:t>张慧娟 李圆圆 贺  静 邬若男</w:t>
      </w:r>
    </w:p>
    <w:p w14:paraId="724FD4B5">
      <w:pPr>
        <w:adjustRightInd w:val="0"/>
        <w:ind w:left="1440" w:leftChars="600" w:firstLine="1920" w:firstLineChars="600"/>
        <w:rPr>
          <w:rFonts w:cs="Times New Roman"/>
          <w:sz w:val="32"/>
          <w:szCs w:val="32"/>
        </w:rPr>
      </w:pPr>
      <w:r>
        <w:rPr>
          <w:rFonts w:hint="eastAsia" w:cs="Times New Roman"/>
          <w:sz w:val="32"/>
          <w:szCs w:val="32"/>
        </w:rPr>
        <w:t>张  静 赵  丹 王金刚 李  博</w:t>
      </w:r>
    </w:p>
    <w:p w14:paraId="3A44905F">
      <w:pPr>
        <w:adjustRightInd w:val="0"/>
        <w:ind w:left="1440" w:leftChars="600" w:firstLine="1920" w:firstLineChars="600"/>
        <w:rPr>
          <w:rFonts w:cs="Times New Roman"/>
          <w:sz w:val="32"/>
          <w:szCs w:val="32"/>
        </w:rPr>
      </w:pPr>
      <w:r>
        <w:rPr>
          <w:rFonts w:hint="eastAsia" w:cs="Times New Roman"/>
          <w:sz w:val="32"/>
          <w:szCs w:val="32"/>
        </w:rPr>
        <w:t xml:space="preserve">赵  轩 刘  凯 韩瑞强 左嘉逸 </w:t>
      </w:r>
    </w:p>
    <w:p w14:paraId="196B0265">
      <w:pPr>
        <w:adjustRightInd w:val="0"/>
        <w:ind w:left="1440" w:leftChars="600" w:firstLine="1920" w:firstLineChars="600"/>
        <w:rPr>
          <w:rFonts w:cs="Times New Roman"/>
          <w:sz w:val="32"/>
          <w:szCs w:val="32"/>
        </w:rPr>
      </w:pPr>
      <w:r>
        <w:rPr>
          <w:rFonts w:hint="eastAsia" w:cs="Times New Roman"/>
          <w:sz w:val="32"/>
          <w:szCs w:val="32"/>
        </w:rPr>
        <w:t>刘  鸿 李梦玲 杨  丽 云宇青</w:t>
      </w:r>
    </w:p>
    <w:p w14:paraId="2F7E8F58">
      <w:pPr>
        <w:adjustRightInd w:val="0"/>
        <w:ind w:left="1440" w:leftChars="600" w:firstLine="1920" w:firstLineChars="600"/>
        <w:rPr>
          <w:rFonts w:hint="eastAsia" w:cs="Times New Roman"/>
          <w:sz w:val="32"/>
          <w:szCs w:val="32"/>
        </w:rPr>
      </w:pPr>
      <w:r>
        <w:rPr>
          <w:rFonts w:hint="eastAsia" w:cs="Times New Roman"/>
          <w:sz w:val="32"/>
          <w:szCs w:val="32"/>
        </w:rPr>
        <w:t>王瑞娟 翟树琛 燕果萍 王敏敏</w:t>
      </w:r>
    </w:p>
    <w:p w14:paraId="364FB8C1">
      <w:pPr>
        <w:adjustRightInd w:val="0"/>
        <w:ind w:left="1440" w:leftChars="600" w:firstLine="1920" w:firstLineChars="600"/>
        <w:rPr>
          <w:rFonts w:hint="default" w:eastAsia="宋体" w:cs="Times New Roman"/>
          <w:sz w:val="32"/>
          <w:szCs w:val="32"/>
          <w:lang w:val="en-US" w:eastAsia="zh-CN"/>
        </w:rPr>
      </w:pPr>
      <w:r>
        <w:rPr>
          <w:rFonts w:hint="eastAsia" w:cs="Times New Roman"/>
          <w:sz w:val="32"/>
          <w:szCs w:val="32"/>
          <w:lang w:eastAsia="zh-CN"/>
        </w:rPr>
        <w:t>辛</w:t>
      </w:r>
      <w:r>
        <w:rPr>
          <w:rFonts w:hint="eastAsia" w:cs="Times New Roman"/>
          <w:sz w:val="32"/>
          <w:szCs w:val="32"/>
          <w:lang w:val="en-US" w:eastAsia="zh-CN"/>
        </w:rPr>
        <w:t xml:space="preserve">  </w:t>
      </w:r>
      <w:r>
        <w:rPr>
          <w:rFonts w:hint="eastAsia" w:cs="Times New Roman"/>
          <w:sz w:val="32"/>
          <w:szCs w:val="32"/>
          <w:lang w:eastAsia="zh-CN"/>
        </w:rPr>
        <w:t>磊</w:t>
      </w:r>
      <w:r>
        <w:rPr>
          <w:rFonts w:hint="eastAsia" w:cs="Times New Roman"/>
          <w:sz w:val="32"/>
          <w:szCs w:val="32"/>
          <w:lang w:val="en-US" w:eastAsia="zh-CN"/>
        </w:rPr>
        <w:t xml:space="preserve"> 王月英</w:t>
      </w:r>
    </w:p>
    <w:p w14:paraId="3B390AC3">
      <w:pPr>
        <w:widowControl/>
        <w:snapToGrid/>
        <w:spacing w:line="240" w:lineRule="auto"/>
        <w:jc w:val="left"/>
        <w:rPr>
          <w:rFonts w:cs="Times New Roman"/>
          <w:sz w:val="32"/>
          <w:szCs w:val="32"/>
        </w:rPr>
      </w:pPr>
    </w:p>
    <w:p w14:paraId="09AAB78A">
      <w:pPr>
        <w:adjustRightInd w:val="0"/>
        <w:rPr>
          <w:rFonts w:cs="Times New Roman"/>
          <w:sz w:val="28"/>
          <w:szCs w:val="28"/>
        </w:rPr>
      </w:pPr>
      <w:r>
        <w:drawing>
          <wp:inline distT="0" distB="0" distL="0" distR="0">
            <wp:extent cx="5274310" cy="7308215"/>
            <wp:effectExtent l="0" t="0" r="2540" b="6985"/>
            <wp:docPr id="690906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6130" name="图片 1"/>
                    <pic:cNvPicPr>
                      <a:picLocks noChangeAspect="1"/>
                    </pic:cNvPicPr>
                  </pic:nvPicPr>
                  <pic:blipFill>
                    <a:blip r:embed="rId27"/>
                    <a:stretch>
                      <a:fillRect/>
                    </a:stretch>
                  </pic:blipFill>
                  <pic:spPr>
                    <a:xfrm>
                      <a:off x="0" y="0"/>
                      <a:ext cx="5274310" cy="7308215"/>
                    </a:xfrm>
                    <a:prstGeom prst="rect">
                      <a:avLst/>
                    </a:prstGeom>
                  </pic:spPr>
                </pic:pic>
              </a:graphicData>
            </a:graphic>
          </wp:inline>
        </w:drawing>
      </w:r>
      <w:r>
        <w:drawing>
          <wp:inline distT="0" distB="0" distL="0" distR="0">
            <wp:extent cx="5274310" cy="7214870"/>
            <wp:effectExtent l="0" t="0" r="2540" b="5080"/>
            <wp:docPr id="147521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1046" name="图片 1"/>
                    <pic:cNvPicPr>
                      <a:picLocks noChangeAspect="1"/>
                    </pic:cNvPicPr>
                  </pic:nvPicPr>
                  <pic:blipFill>
                    <a:blip r:embed="rId28"/>
                    <a:stretch>
                      <a:fillRect/>
                    </a:stretch>
                  </pic:blipFill>
                  <pic:spPr>
                    <a:xfrm>
                      <a:off x="0" y="0"/>
                      <a:ext cx="5274310" cy="7214870"/>
                    </a:xfrm>
                    <a:prstGeom prst="rect">
                      <a:avLst/>
                    </a:prstGeom>
                  </pic:spPr>
                </pic:pic>
              </a:graphicData>
            </a:graphic>
          </wp:inline>
        </w:drawing>
      </w:r>
      <w:r>
        <w:drawing>
          <wp:inline distT="0" distB="0" distL="0" distR="0">
            <wp:extent cx="5274310" cy="7409815"/>
            <wp:effectExtent l="0" t="0" r="2540" b="635"/>
            <wp:docPr id="1193646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46605" name="图片 1"/>
                    <pic:cNvPicPr>
                      <a:picLocks noChangeAspect="1"/>
                    </pic:cNvPicPr>
                  </pic:nvPicPr>
                  <pic:blipFill>
                    <a:blip r:embed="rId29"/>
                    <a:stretch>
                      <a:fillRect/>
                    </a:stretch>
                  </pic:blipFill>
                  <pic:spPr>
                    <a:xfrm>
                      <a:off x="0" y="0"/>
                      <a:ext cx="5274310" cy="7409815"/>
                    </a:xfrm>
                    <a:prstGeom prst="rect">
                      <a:avLst/>
                    </a:prstGeom>
                  </pic:spPr>
                </pic:pic>
              </a:graphicData>
            </a:graphic>
          </wp:inline>
        </w:drawing>
      </w:r>
      <w:r>
        <w:drawing>
          <wp:inline distT="0" distB="0" distL="0" distR="0">
            <wp:extent cx="5274310" cy="7364730"/>
            <wp:effectExtent l="0" t="0" r="2540" b="7620"/>
            <wp:docPr id="966276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76136" name="图片 1"/>
                    <pic:cNvPicPr>
                      <a:picLocks noChangeAspect="1"/>
                    </pic:cNvPicPr>
                  </pic:nvPicPr>
                  <pic:blipFill>
                    <a:blip r:embed="rId30"/>
                    <a:stretch>
                      <a:fillRect/>
                    </a:stretch>
                  </pic:blipFill>
                  <pic:spPr>
                    <a:xfrm>
                      <a:off x="0" y="0"/>
                      <a:ext cx="5274310" cy="7364730"/>
                    </a:xfrm>
                    <a:prstGeom prst="rect">
                      <a:avLst/>
                    </a:prstGeom>
                  </pic:spPr>
                </pic:pic>
              </a:graphicData>
            </a:graphic>
          </wp:inline>
        </w:drawing>
      </w:r>
      <w:r>
        <w:drawing>
          <wp:inline distT="0" distB="0" distL="0" distR="0">
            <wp:extent cx="5274310" cy="7221855"/>
            <wp:effectExtent l="0" t="0" r="2540" b="0"/>
            <wp:docPr id="1690568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68255" name="图片 1"/>
                    <pic:cNvPicPr>
                      <a:picLocks noChangeAspect="1"/>
                    </pic:cNvPicPr>
                  </pic:nvPicPr>
                  <pic:blipFill>
                    <a:blip r:embed="rId31"/>
                    <a:stretch>
                      <a:fillRect/>
                    </a:stretch>
                  </pic:blipFill>
                  <pic:spPr>
                    <a:xfrm>
                      <a:off x="0" y="0"/>
                      <a:ext cx="5274310" cy="7221855"/>
                    </a:xfrm>
                    <a:prstGeom prst="rect">
                      <a:avLst/>
                    </a:prstGeom>
                  </pic:spPr>
                </pic:pic>
              </a:graphicData>
            </a:graphic>
          </wp:inline>
        </w:drawing>
      </w:r>
      <w:r>
        <w:t xml:space="preserve">    </w:t>
      </w:r>
      <w:r>
        <w:drawing>
          <wp:inline distT="0" distB="0" distL="0" distR="0">
            <wp:extent cx="5274310" cy="7019290"/>
            <wp:effectExtent l="0" t="0" r="2540" b="0"/>
            <wp:docPr id="1390087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87567" name="图片 1"/>
                    <pic:cNvPicPr>
                      <a:picLocks noChangeAspect="1"/>
                    </pic:cNvPicPr>
                  </pic:nvPicPr>
                  <pic:blipFill>
                    <a:blip r:embed="rId32">
                      <a:extLst>
                        <a:ext uri="{BEBA8EAE-BF5A-486C-A8C5-ECC9F3942E4B}">
                          <a14:imgProps xmlns:a14="http://schemas.microsoft.com/office/drawing/2010/main">
                            <a14:imgLayer r:embed="rId33">
                              <a14:imgEffect>
                                <a14:brightnessContrast bright="40000" contrast="-40000"/>
                              </a14:imgEffect>
                            </a14:imgLayer>
                          </a14:imgProps>
                        </a:ext>
                      </a:extLst>
                    </a:blip>
                    <a:stretch>
                      <a:fillRect/>
                    </a:stretch>
                  </pic:blipFill>
                  <pic:spPr>
                    <a:xfrm>
                      <a:off x="0" y="0"/>
                      <a:ext cx="5274310" cy="7019290"/>
                    </a:xfrm>
                    <a:prstGeom prst="rect">
                      <a:avLst/>
                    </a:prstGeom>
                  </pic:spPr>
                </pic:pic>
              </a:graphicData>
            </a:graphic>
          </wp:inline>
        </w:drawing>
      </w:r>
      <w:r>
        <w:rPr>
          <w:rFonts w:cs="Times New Roman"/>
          <w:sz w:val="28"/>
          <w:szCs w:val="28"/>
        </w:rPr>
        <w:br w:type="page"/>
      </w:r>
    </w:p>
    <w:p w14:paraId="60028464">
      <w:pPr>
        <w:adjustRightInd w:val="0"/>
        <w:ind w:firstLine="1548" w:firstLineChars="645"/>
        <w:outlineLvl w:val="0"/>
        <w:rPr>
          <w:rFonts w:cs="Times New Roman" w:eastAsiaTheme="minorEastAsia"/>
        </w:rPr>
        <w:sectPr>
          <w:type w:val="continuous"/>
          <w:pgSz w:w="11906" w:h="16838"/>
          <w:pgMar w:top="1440" w:right="1800" w:bottom="1440" w:left="1800" w:header="851" w:footer="992" w:gutter="0"/>
          <w:pgNumType w:start="1"/>
          <w:cols w:space="425" w:num="1"/>
          <w:docGrid w:type="linesAndChars" w:linePitch="326" w:charSpace="0"/>
        </w:sectPr>
      </w:pPr>
    </w:p>
    <w:p w14:paraId="5B9DDCAC">
      <w:pPr>
        <w:jc w:val="center"/>
        <w:rPr>
          <w:rFonts w:cs="Times New Roman"/>
          <w:b/>
          <w:bCs/>
          <w:sz w:val="32"/>
          <w:szCs w:val="32"/>
        </w:rPr>
      </w:pPr>
      <w:bookmarkStart w:id="1" w:name="_Toc278103518"/>
      <w:r>
        <w:rPr>
          <w:rFonts w:cs="Times New Roman"/>
          <w:b/>
          <w:bCs/>
          <w:sz w:val="32"/>
          <w:szCs w:val="32"/>
        </w:rPr>
        <w:t>前  言</w:t>
      </w:r>
      <w:bookmarkEnd w:id="1"/>
    </w:p>
    <w:p w14:paraId="17C88A32">
      <w:pPr>
        <w:tabs>
          <w:tab w:val="left" w:pos="3780"/>
        </w:tabs>
        <w:adjustRightInd w:val="0"/>
        <w:ind w:firstLine="560" w:firstLineChars="200"/>
        <w:rPr>
          <w:rFonts w:cs="Times New Roman"/>
          <w:b/>
          <w:bCs/>
          <w:sz w:val="28"/>
          <w:szCs w:val="24"/>
        </w:rPr>
      </w:pPr>
      <w:r>
        <w:rPr>
          <w:rFonts w:hint="eastAsia" w:cs="Times New Roman"/>
          <w:color w:val="000000" w:themeColor="text1"/>
          <w:sz w:val="28"/>
          <w:szCs w:val="24"/>
          <w14:textFill>
            <w14:solidFill>
              <w14:schemeClr w14:val="tx1"/>
            </w14:solidFill>
          </w14:textFill>
        </w:rPr>
        <w:t>国家水网建设</w:t>
      </w:r>
      <w:r>
        <w:rPr>
          <w:rFonts w:cs="Times New Roman"/>
          <w:color w:val="000000" w:themeColor="text1"/>
          <w:sz w:val="28"/>
          <w:szCs w:val="24"/>
          <w14:textFill>
            <w14:solidFill>
              <w14:schemeClr w14:val="tx1"/>
            </w14:solidFill>
          </w14:textFill>
        </w:rPr>
        <w:t>是以自然河湖为基础，引调排水工程为通道，调蓄工程为结点，智慧调控为手段，集水资源优化配置、流域防洪减灾、水生</w:t>
      </w:r>
      <w:r>
        <w:rPr>
          <w:rFonts w:cs="Times New Roman"/>
          <w:sz w:val="28"/>
          <w:szCs w:val="24"/>
        </w:rPr>
        <w:t>态系统保护等功能于一体的综合体系。习近平总书记强调水网建设起来，会是中华民族在治水历程中又一个世纪画卷，会载入千秋史册。2023年5月25日，中共中央、国务院印发《国家水网建设规划纲要》。水利部将实施国家水网工程作为推动新阶段水利高质量发展的六条实施路径之一，要求加快推进省级水网建设。2024年全国水利工作会议，要求推动各层级水网协同融合发展，打通国家水网“最后一公里”。2024年4月内蒙古自治区人民政府已印发实施《内蒙古自治区水网建设规划》，对加快完善市县水网布局作出了具体部署。</w:t>
      </w:r>
      <w:r>
        <w:rPr>
          <w:rFonts w:cs="Times New Roman"/>
          <w:b/>
          <w:bCs/>
          <w:sz w:val="28"/>
          <w:szCs w:val="24"/>
        </w:rPr>
        <w:t>2024年4月</w:t>
      </w:r>
      <w:r>
        <w:rPr>
          <w:rFonts w:hint="eastAsia" w:cs="Times New Roman"/>
          <w:b/>
          <w:bCs/>
          <w:sz w:val="28"/>
          <w:szCs w:val="24"/>
        </w:rPr>
        <w:t>，</w:t>
      </w:r>
      <w:r>
        <w:rPr>
          <w:rFonts w:cs="Times New Roman"/>
          <w:b/>
          <w:bCs/>
          <w:sz w:val="28"/>
          <w:szCs w:val="24"/>
        </w:rPr>
        <w:t>《包头市水网建设规划》通过包头市水务局审查</w:t>
      </w:r>
      <w:r>
        <w:rPr>
          <w:rFonts w:hint="eastAsia" w:cs="Times New Roman"/>
          <w:b/>
          <w:bCs/>
          <w:sz w:val="28"/>
          <w:szCs w:val="24"/>
        </w:rPr>
        <w:t>，2024年8月15日，内蒙古自治区水利厅印发关于《内蒙古自治区水利厅关于印送包头市水网建设规划审核意见的通知》（内水便函【2024】388号文），2024年11月包头市印发《包头市水网建设规划（2025-2035年）》</w:t>
      </w:r>
      <w:r>
        <w:rPr>
          <w:rFonts w:cs="Times New Roman"/>
          <w:b/>
          <w:bCs/>
          <w:sz w:val="28"/>
          <w:szCs w:val="24"/>
        </w:rPr>
        <w:t>。</w:t>
      </w:r>
    </w:p>
    <w:p w14:paraId="4D8168F6">
      <w:pPr>
        <w:tabs>
          <w:tab w:val="left" w:pos="3780"/>
        </w:tabs>
        <w:adjustRightInd w:val="0"/>
        <w:ind w:firstLine="560" w:firstLineChars="200"/>
        <w:rPr>
          <w:rFonts w:cs="Times New Roman"/>
          <w:sz w:val="28"/>
          <w:szCs w:val="24"/>
        </w:rPr>
      </w:pPr>
      <w:r>
        <w:rPr>
          <w:rFonts w:hint="eastAsia" w:cs="Times New Roman"/>
          <w:color w:val="000000" w:themeColor="text1"/>
          <w:sz w:val="28"/>
          <w:szCs w:val="24"/>
          <w14:textFill>
            <w14:solidFill>
              <w14:schemeClr w14:val="tx1"/>
            </w14:solidFill>
          </w14:textFill>
        </w:rPr>
        <w:t>为深入贯彻习近平总书记关于加快构建国家水网的重要指示精神，落实《国家水网建设规划纲要》有关部署，加快完善国家水网建设规划体系，指导市县水网建设规划编制工作，提高水网规划的科学性、合理性和可操作性，水利部制定了《市县水网建设规划编制技术要点(试行)》，在此基础上，九原区结合实际编制水网建设规划工作。</w:t>
      </w:r>
    </w:p>
    <w:p w14:paraId="03DCB4C6">
      <w:pPr>
        <w:tabs>
          <w:tab w:val="left" w:pos="3780"/>
        </w:tabs>
        <w:adjustRightInd w:val="0"/>
        <w:ind w:firstLine="560" w:firstLineChars="200"/>
        <w:rPr>
          <w:rFonts w:cs="Times New Roman"/>
          <w:sz w:val="28"/>
          <w:szCs w:val="24"/>
        </w:rPr>
      </w:pPr>
      <w:r>
        <w:rPr>
          <w:rFonts w:hint="eastAsia" w:cs="Times New Roman"/>
          <w:sz w:val="28"/>
          <w:szCs w:val="24"/>
        </w:rPr>
        <w:t>包头市九原区位于“呼包银榆”经济区和“呼包鄂榆”城市群的核心区域，是包头新都市中心区所在地，也是内蒙古和包头市落实“一带一路”倡议和京津冀协同发展的重要节点。水的承载空间决定了经济社会的发展空间，水是九原区经济社会高质量发展和生态文明建设的主要制约因素。建设九原区水网，是九原区实施国家水网重大工程，是贯彻落实党中央、国务院决策部署，是加快完善水利基础设施网络体系的重要任务，是水治理体系和治理能力现代化的重要载体，是优化我国水资源配置、全面提高水安全保障能力、促进水利高质量发展的根本举措。建设九原区水网，是九原区贯彻落实党中央关于内蒙古系列决策部署以及国家江河战略、国家水网建设的战略举措，是完成“五大任务”全方位建设“模范自治区”的迫切需要，也是支撑新时期九原区高质量发展的重要抓手。</w:t>
      </w:r>
    </w:p>
    <w:p w14:paraId="6A552BBF">
      <w:pPr>
        <w:tabs>
          <w:tab w:val="left" w:pos="3780"/>
        </w:tabs>
        <w:adjustRightInd w:val="0"/>
        <w:ind w:firstLine="560" w:firstLineChars="200"/>
        <w:rPr>
          <w:rFonts w:cs="Times New Roman"/>
          <w:sz w:val="28"/>
          <w:szCs w:val="24"/>
        </w:rPr>
      </w:pPr>
      <w:r>
        <w:rPr>
          <w:rFonts w:hint="eastAsia" w:cs="Times New Roman"/>
          <w:sz w:val="28"/>
          <w:szCs w:val="24"/>
        </w:rPr>
        <w:t>按照九原区人民政府的总体部署，九原区水务局委托牧区水利科学研究所编制《包头市九原区水网建设规划》（以下简称《规划》）。《规划》以问题为导向，以需求为牵引，在深入分析九原区水网建设基础和面临的形势基础上，立足九原区区情、水情和水利基础设施特点，以联网、补网、强链为重点，提出九原区水网建设思路、总体格局、规划任务、重大工程与行动，制定《规划》推进策略和保障措施。通过规划实施，基于包头市水网规划框架，</w:t>
      </w:r>
      <w:r>
        <w:rPr>
          <w:rFonts w:cs="Times New Roman"/>
          <w:sz w:val="28"/>
          <w:szCs w:val="28"/>
        </w:rPr>
        <w:t>全面建成与现代产业体系和生态文明建设要求相协调、与人民群众美好生活新期盼相适应的</w:t>
      </w:r>
      <w:r>
        <w:rPr>
          <w:rFonts w:hint="eastAsia" w:cs="Times New Roman"/>
          <w:sz w:val="28"/>
          <w:szCs w:val="28"/>
        </w:rPr>
        <w:t>九原区</w:t>
      </w:r>
      <w:r>
        <w:rPr>
          <w:rFonts w:cs="Times New Roman"/>
          <w:sz w:val="28"/>
          <w:szCs w:val="28"/>
        </w:rPr>
        <w:t>水网，实现“水安、水美、水活”的美好愿景</w:t>
      </w:r>
      <w:r>
        <w:rPr>
          <w:rFonts w:hint="eastAsia" w:cs="Times New Roman"/>
          <w:sz w:val="28"/>
          <w:szCs w:val="24"/>
        </w:rPr>
        <w:t>，为实现九原区经济社会高质量发展提供强有力的水安全保障。现状水平年为2023年，规划水平年为2035年，展望到2050年。规划范围为九原区全境，涉及黄河流域九原区范围。</w:t>
      </w:r>
    </w:p>
    <w:p w14:paraId="215C8926">
      <w:pPr>
        <w:tabs>
          <w:tab w:val="left" w:pos="3780"/>
        </w:tabs>
        <w:adjustRightInd w:val="0"/>
        <w:ind w:firstLine="560" w:firstLineChars="200"/>
        <w:rPr>
          <w:rFonts w:cs="Times New Roman"/>
          <w:sz w:val="28"/>
          <w:szCs w:val="24"/>
        </w:rPr>
      </w:pPr>
      <w:r>
        <w:rPr>
          <w:rFonts w:hint="eastAsia" w:cs="Times New Roman"/>
          <w:sz w:val="28"/>
          <w:szCs w:val="24"/>
        </w:rPr>
        <w:t>《规划》是未来一段时期指导九原区水利基础设施网络体系建设的系统性、全局性、战略性性规划，是九原区全面推进水利高质量发展的重要依据。</w:t>
      </w:r>
      <w:r>
        <w:rPr>
          <w:rFonts w:cs="Times New Roman"/>
          <w:sz w:val="28"/>
          <w:szCs w:val="24"/>
        </w:rPr>
        <w:br w:type="page"/>
      </w:r>
    </w:p>
    <w:p w14:paraId="63F1037D">
      <w:pPr>
        <w:tabs>
          <w:tab w:val="left" w:pos="3780"/>
        </w:tabs>
        <w:adjustRightInd w:val="0"/>
        <w:ind w:firstLine="480" w:firstLineChars="200"/>
        <w:rPr>
          <w:rFonts w:cs="Times New Roman"/>
        </w:rPr>
        <w:sectPr>
          <w:headerReference r:id="rId5" w:type="default"/>
          <w:footerReference r:id="rId6" w:type="default"/>
          <w:type w:val="continuous"/>
          <w:pgSz w:w="11906" w:h="16838"/>
          <w:pgMar w:top="1440" w:right="1800" w:bottom="1440" w:left="1800" w:header="851" w:footer="992" w:gutter="0"/>
          <w:cols w:space="425" w:num="1"/>
          <w:docGrid w:type="lines" w:linePitch="312" w:charSpace="0"/>
        </w:sectPr>
      </w:pPr>
    </w:p>
    <w:sdt>
      <w:sdtPr>
        <w:rPr>
          <w:rFonts w:ascii="Times New Roman" w:hAnsi="Times New Roman" w:eastAsia="宋体" w:cs="Times New Roman"/>
          <w:color w:val="auto"/>
          <w:kern w:val="2"/>
          <w:sz w:val="24"/>
          <w:szCs w:val="22"/>
          <w:lang w:val="zh-CN"/>
        </w:rPr>
        <w:id w:val="-1224983532"/>
        <w:docPartObj>
          <w:docPartGallery w:val="Table of Contents"/>
          <w:docPartUnique/>
        </w:docPartObj>
      </w:sdtPr>
      <w:sdtEndPr>
        <w:rPr>
          <w:rFonts w:ascii="Times New Roman" w:hAnsi="Times New Roman" w:eastAsia="宋体" w:cs="Times New Roman"/>
          <w:color w:val="auto"/>
          <w:kern w:val="2"/>
          <w:sz w:val="24"/>
          <w:szCs w:val="22"/>
          <w:lang w:val="zh-CN"/>
        </w:rPr>
      </w:sdtEndPr>
      <w:sdtContent>
        <w:p w14:paraId="30B790E3">
          <w:pPr>
            <w:pStyle w:val="31"/>
            <w:adjustRightInd w:val="0"/>
            <w:snapToGrid w:val="0"/>
            <w:spacing w:before="0" w:line="360" w:lineRule="auto"/>
            <w:jc w:val="center"/>
            <w:rPr>
              <w:rFonts w:ascii="Times New Roman" w:hAnsi="Times New Roman" w:eastAsia="宋体" w:cs="Times New Roman"/>
              <w:b/>
              <w:bCs/>
              <w:color w:val="auto"/>
            </w:rPr>
          </w:pPr>
          <w:r>
            <w:rPr>
              <w:rFonts w:ascii="Times New Roman" w:hAnsi="Times New Roman" w:eastAsia="宋体" w:cs="Times New Roman"/>
              <w:b/>
              <w:bCs/>
              <w:color w:val="auto"/>
              <w:lang w:val="zh-CN"/>
            </w:rPr>
            <w:t>目  录</w:t>
          </w:r>
        </w:p>
        <w:p w14:paraId="3BAF60E5">
          <w:pPr>
            <w:pStyle w:val="13"/>
            <w:tabs>
              <w:tab w:val="right" w:leader="dot" w:pos="8296"/>
            </w:tabs>
            <w:rPr>
              <w:rFonts w:hint="eastAsia" w:asciiTheme="minorHAnsi" w:hAnsiTheme="minorHAnsi" w:eastAsiaTheme="minorEastAsia"/>
              <w:sz w:val="22"/>
              <w:szCs w:val="24"/>
              <w14:ligatures w14:val="standardContextual"/>
            </w:rPr>
          </w:pPr>
          <w:r>
            <w:rPr>
              <w:rFonts w:cs="Times New Roman"/>
              <w:szCs w:val="24"/>
            </w:rPr>
            <w:fldChar w:fldCharType="begin"/>
          </w:r>
          <w:r>
            <w:rPr>
              <w:rFonts w:cs="Times New Roman"/>
              <w:szCs w:val="24"/>
            </w:rPr>
            <w:instrText xml:space="preserve"> TOC \o "1-3" \h \z \u </w:instrText>
          </w:r>
          <w:r>
            <w:rPr>
              <w:rFonts w:cs="Times New Roman"/>
              <w:szCs w:val="24"/>
            </w:rPr>
            <w:fldChar w:fldCharType="separate"/>
          </w:r>
          <w:r>
            <w:fldChar w:fldCharType="begin"/>
          </w:r>
          <w:r>
            <w:instrText xml:space="preserve"> HYPERLINK \l "_Toc198651989" </w:instrText>
          </w:r>
          <w:r>
            <w:fldChar w:fldCharType="separate"/>
          </w:r>
          <w:r>
            <w:rPr>
              <w:rStyle w:val="22"/>
              <w:rFonts w:hint="eastAsia" w:eastAsia="黑体" w:cs="Times New Roman"/>
            </w:rPr>
            <w:t>1建设基础与面临形势</w:t>
          </w:r>
          <w:r>
            <w:rPr>
              <w:rFonts w:hint="eastAsia"/>
            </w:rPr>
            <w:tab/>
          </w:r>
          <w:r>
            <w:rPr>
              <w:rFonts w:hint="eastAsia"/>
            </w:rPr>
            <w:fldChar w:fldCharType="begin"/>
          </w:r>
          <w:r>
            <w:rPr>
              <w:rFonts w:hint="eastAsia"/>
            </w:rPr>
            <w:instrText xml:space="preserve"> </w:instrText>
          </w:r>
          <w:r>
            <w:instrText xml:space="preserve">PAGEREF _Toc198651989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522501F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"_Toc198651990" </w:instrText>
          </w:r>
          <w:r>
            <w:fldChar w:fldCharType="separate"/>
          </w:r>
          <w:r>
            <w:rPr>
              <w:rStyle w:val="22"/>
              <w:rFonts w:hint="eastAsia" w:eastAsia="黑体" w:cs="Times New Roman"/>
              <w:kern w:val="0"/>
            </w:rPr>
            <w:t>1.1区域特点</w:t>
          </w:r>
          <w:r>
            <w:rPr>
              <w:rFonts w:hint="eastAsia"/>
            </w:rPr>
            <w:tab/>
          </w:r>
          <w:r>
            <w:rPr>
              <w:rFonts w:hint="eastAsia"/>
            </w:rPr>
            <w:fldChar w:fldCharType="begin"/>
          </w:r>
          <w:r>
            <w:rPr>
              <w:rFonts w:hint="eastAsia"/>
            </w:rPr>
            <w:instrText xml:space="preserve"> </w:instrText>
          </w:r>
          <w:r>
            <w:instrText xml:space="preserve">PAGEREF _Toc198651990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70C9333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"_Toc198651991" </w:instrText>
          </w:r>
          <w:r>
            <w:fldChar w:fldCharType="separate"/>
          </w:r>
          <w:r>
            <w:rPr>
              <w:rStyle w:val="22"/>
              <w:rFonts w:hint="eastAsia" w:eastAsia="黑体" w:cs="Times New Roman"/>
              <w:kern w:val="0"/>
            </w:rPr>
            <w:t>1.1.1地理位置</w:t>
          </w:r>
          <w:r>
            <w:rPr>
              <w:rFonts w:hint="eastAsia"/>
            </w:rPr>
            <w:tab/>
          </w:r>
          <w:r>
            <w:rPr>
              <w:rFonts w:hint="eastAsia"/>
            </w:rPr>
            <w:fldChar w:fldCharType="begin"/>
          </w:r>
          <w:r>
            <w:rPr>
              <w:rFonts w:hint="eastAsia"/>
            </w:rPr>
            <w:instrText xml:space="preserve"> </w:instrText>
          </w:r>
          <w:r>
            <w:instrText xml:space="preserve">PAGEREF _Toc198651991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71BF116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"_Toc198651992" </w:instrText>
          </w:r>
          <w:r>
            <w:fldChar w:fldCharType="separate"/>
          </w:r>
          <w:r>
            <w:rPr>
              <w:rStyle w:val="22"/>
              <w:rFonts w:hint="eastAsia" w:eastAsia="黑体" w:cs="Times New Roman"/>
              <w:kern w:val="0"/>
            </w:rPr>
            <w:t>1.1.2地形地貌</w:t>
          </w:r>
          <w:r>
            <w:rPr>
              <w:rFonts w:hint="eastAsia"/>
            </w:rPr>
            <w:tab/>
          </w:r>
          <w:r>
            <w:rPr>
              <w:rFonts w:hint="eastAsia"/>
            </w:rPr>
            <w:fldChar w:fldCharType="begin"/>
          </w:r>
          <w:r>
            <w:rPr>
              <w:rFonts w:hint="eastAsia"/>
            </w:rPr>
            <w:instrText xml:space="preserve"> </w:instrText>
          </w:r>
          <w:r>
            <w:instrText xml:space="preserve">PAGEREF _Toc198651992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4A0ACA3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"_Toc198651993" </w:instrText>
          </w:r>
          <w:r>
            <w:fldChar w:fldCharType="separate"/>
          </w:r>
          <w:r>
            <w:rPr>
              <w:rStyle w:val="22"/>
              <w:rFonts w:hint="eastAsia" w:eastAsia="黑体" w:cs="Times New Roman"/>
              <w:kern w:val="0"/>
            </w:rPr>
            <w:t>1.1.3河流水系</w:t>
          </w:r>
          <w:r>
            <w:rPr>
              <w:rFonts w:hint="eastAsia"/>
            </w:rPr>
            <w:tab/>
          </w:r>
          <w:r>
            <w:rPr>
              <w:rFonts w:hint="eastAsia"/>
            </w:rPr>
            <w:fldChar w:fldCharType="begin"/>
          </w:r>
          <w:r>
            <w:rPr>
              <w:rFonts w:hint="eastAsia"/>
            </w:rPr>
            <w:instrText xml:space="preserve"> </w:instrText>
          </w:r>
          <w:r>
            <w:instrText xml:space="preserve">PAGEREF _Toc198651993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14:paraId="1AFCBCA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"_Toc198651994" </w:instrText>
          </w:r>
          <w:r>
            <w:fldChar w:fldCharType="separate"/>
          </w:r>
          <w:r>
            <w:rPr>
              <w:rStyle w:val="22"/>
              <w:rFonts w:hint="eastAsia" w:eastAsia="黑体" w:cs="Times New Roman"/>
              <w:kern w:val="0"/>
            </w:rPr>
            <w:t>1.1.4气候条件</w:t>
          </w:r>
          <w:r>
            <w:rPr>
              <w:rFonts w:hint="eastAsia"/>
            </w:rPr>
            <w:tab/>
          </w:r>
          <w:r>
            <w:rPr>
              <w:rFonts w:hint="eastAsia"/>
            </w:rPr>
            <w:fldChar w:fldCharType="begin"/>
          </w:r>
          <w:r>
            <w:rPr>
              <w:rFonts w:hint="eastAsia"/>
            </w:rPr>
            <w:instrText xml:space="preserve"> </w:instrText>
          </w:r>
          <w:r>
            <w:instrText xml:space="preserve">PAGEREF _Toc198651994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6CDE4B9A">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"_Toc198651995" </w:instrText>
          </w:r>
          <w:r>
            <w:fldChar w:fldCharType="separate"/>
          </w:r>
          <w:r>
            <w:rPr>
              <w:rStyle w:val="22"/>
              <w:rFonts w:hint="eastAsia" w:eastAsia="黑体" w:cs="Times New Roman"/>
              <w:kern w:val="0"/>
            </w:rPr>
            <w:t>1.1.5自然资源</w:t>
          </w:r>
          <w:r>
            <w:rPr>
              <w:rFonts w:hint="eastAsia"/>
            </w:rPr>
            <w:tab/>
          </w:r>
          <w:r>
            <w:rPr>
              <w:rFonts w:hint="eastAsia"/>
            </w:rPr>
            <w:fldChar w:fldCharType="begin"/>
          </w:r>
          <w:r>
            <w:rPr>
              <w:rFonts w:hint="eastAsia"/>
            </w:rPr>
            <w:instrText xml:space="preserve"> </w:instrText>
          </w:r>
          <w:r>
            <w:instrText xml:space="preserve">PAGEREF _Toc198651995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2707333B">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"_Toc198651996" </w:instrText>
          </w:r>
          <w:r>
            <w:fldChar w:fldCharType="separate"/>
          </w:r>
          <w:r>
            <w:rPr>
              <w:rStyle w:val="22"/>
              <w:rFonts w:hint="eastAsia" w:eastAsia="黑体" w:cs="Times New Roman"/>
              <w:kern w:val="0"/>
            </w:rPr>
            <w:t>1.2水利基础设施建设现状</w:t>
          </w:r>
          <w:r>
            <w:rPr>
              <w:rFonts w:hint="eastAsia"/>
            </w:rPr>
            <w:tab/>
          </w:r>
          <w:r>
            <w:rPr>
              <w:rFonts w:hint="eastAsia"/>
            </w:rPr>
            <w:fldChar w:fldCharType="begin"/>
          </w:r>
          <w:r>
            <w:rPr>
              <w:rFonts w:hint="eastAsia"/>
            </w:rPr>
            <w:instrText xml:space="preserve"> </w:instrText>
          </w:r>
          <w:r>
            <w:instrText xml:space="preserve">PAGEREF _Toc198651996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5A4521A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"_Toc198651997" </w:instrText>
          </w:r>
          <w:r>
            <w:fldChar w:fldCharType="separate"/>
          </w:r>
          <w:r>
            <w:rPr>
              <w:rStyle w:val="22"/>
              <w:rFonts w:hint="eastAsia" w:eastAsia="黑体" w:cs="Times New Roman"/>
              <w:kern w:val="0"/>
            </w:rPr>
            <w:t>1.2.1节水控水工作</w:t>
          </w:r>
          <w:r>
            <w:rPr>
              <w:rFonts w:hint="eastAsia"/>
            </w:rPr>
            <w:tab/>
          </w:r>
          <w:r>
            <w:rPr>
              <w:rFonts w:hint="eastAsia"/>
            </w:rPr>
            <w:fldChar w:fldCharType="begin"/>
          </w:r>
          <w:r>
            <w:rPr>
              <w:rFonts w:hint="eastAsia"/>
            </w:rPr>
            <w:instrText xml:space="preserve"> </w:instrText>
          </w:r>
          <w:r>
            <w:instrText xml:space="preserve">PAGEREF _Toc198651997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29288E2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"_Toc198651998" </w:instrText>
          </w:r>
          <w:r>
            <w:fldChar w:fldCharType="separate"/>
          </w:r>
          <w:r>
            <w:rPr>
              <w:rStyle w:val="22"/>
              <w:rFonts w:hint="eastAsia" w:eastAsia="黑体" w:cs="Times New Roman"/>
              <w:kern w:val="0"/>
            </w:rPr>
            <w:t>1.2.2供水安全保障能力</w:t>
          </w:r>
          <w:r>
            <w:rPr>
              <w:rFonts w:hint="eastAsia"/>
            </w:rPr>
            <w:tab/>
          </w:r>
          <w:r>
            <w:rPr>
              <w:rFonts w:hint="eastAsia"/>
            </w:rPr>
            <w:fldChar w:fldCharType="begin"/>
          </w:r>
          <w:r>
            <w:rPr>
              <w:rFonts w:hint="eastAsia"/>
            </w:rPr>
            <w:instrText xml:space="preserve"> </w:instrText>
          </w:r>
          <w:r>
            <w:instrText xml:space="preserve">PAGEREF _Toc198651998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13E27ED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"_Toc198651999" </w:instrText>
          </w:r>
          <w:r>
            <w:fldChar w:fldCharType="separate"/>
          </w:r>
          <w:r>
            <w:rPr>
              <w:rStyle w:val="22"/>
              <w:rFonts w:hint="eastAsia" w:eastAsia="黑体" w:cs="Times New Roman"/>
              <w:kern w:val="0"/>
            </w:rPr>
            <w:t>1.2.3防洪减灾现状</w:t>
          </w:r>
          <w:r>
            <w:rPr>
              <w:rFonts w:hint="eastAsia"/>
            </w:rPr>
            <w:tab/>
          </w:r>
          <w:r>
            <w:rPr>
              <w:rFonts w:hint="eastAsia"/>
            </w:rPr>
            <w:fldChar w:fldCharType="begin"/>
          </w:r>
          <w:r>
            <w:rPr>
              <w:rFonts w:hint="eastAsia"/>
            </w:rPr>
            <w:instrText xml:space="preserve"> </w:instrText>
          </w:r>
          <w:r>
            <w:instrText xml:space="preserve">PAGEREF _Toc198651999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732967B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"_Toc198652000" </w:instrText>
          </w:r>
          <w:r>
            <w:fldChar w:fldCharType="separate"/>
          </w:r>
          <w:r>
            <w:rPr>
              <w:rStyle w:val="22"/>
              <w:rFonts w:hint="eastAsia" w:eastAsia="黑体" w:cs="Times New Roman"/>
              <w:kern w:val="0"/>
            </w:rPr>
            <w:t>1.2.4水生态环境现状</w:t>
          </w:r>
          <w:r>
            <w:rPr>
              <w:rFonts w:hint="eastAsia"/>
            </w:rPr>
            <w:tab/>
          </w:r>
          <w:r>
            <w:rPr>
              <w:rFonts w:hint="eastAsia"/>
            </w:rPr>
            <w:fldChar w:fldCharType="begin"/>
          </w:r>
          <w:r>
            <w:rPr>
              <w:rFonts w:hint="eastAsia"/>
            </w:rPr>
            <w:instrText xml:space="preserve"> </w:instrText>
          </w:r>
          <w:r>
            <w:instrText xml:space="preserve">PAGEREF _Toc198652000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167D586A">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"_Toc198652001" </w:instrText>
          </w:r>
          <w:r>
            <w:fldChar w:fldCharType="separate"/>
          </w:r>
          <w:r>
            <w:rPr>
              <w:rStyle w:val="22"/>
              <w:rFonts w:hint="eastAsia" w:eastAsia="黑体" w:cs="Times New Roman"/>
              <w:kern w:val="0"/>
            </w:rPr>
            <w:t>1.2.5管理体制机制</w:t>
          </w:r>
          <w:r>
            <w:rPr>
              <w:rFonts w:hint="eastAsia"/>
            </w:rPr>
            <w:tab/>
          </w:r>
          <w:r>
            <w:rPr>
              <w:rFonts w:hint="eastAsia"/>
            </w:rPr>
            <w:fldChar w:fldCharType="begin"/>
          </w:r>
          <w:r>
            <w:rPr>
              <w:rFonts w:hint="eastAsia"/>
            </w:rPr>
            <w:instrText xml:space="preserve"> </w:instrText>
          </w:r>
          <w:r>
            <w:instrText xml:space="preserve">PAGEREF _Toc198652001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61B58823">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"_Toc198652002" </w:instrText>
          </w:r>
          <w:r>
            <w:fldChar w:fldCharType="separate"/>
          </w:r>
          <w:r>
            <w:rPr>
              <w:rStyle w:val="22"/>
              <w:rFonts w:hint="eastAsia" w:eastAsia="黑体" w:cs="Times New Roman"/>
              <w:kern w:val="0"/>
            </w:rPr>
            <w:t>1.3存在问题及解决方案</w:t>
          </w:r>
          <w:r>
            <w:rPr>
              <w:rFonts w:hint="eastAsia"/>
            </w:rPr>
            <w:tab/>
          </w:r>
          <w:r>
            <w:rPr>
              <w:rFonts w:hint="eastAsia"/>
            </w:rPr>
            <w:fldChar w:fldCharType="begin"/>
          </w:r>
          <w:r>
            <w:rPr>
              <w:rFonts w:hint="eastAsia"/>
            </w:rPr>
            <w:instrText xml:space="preserve"> </w:instrText>
          </w:r>
          <w:r>
            <w:instrText xml:space="preserve">PAGEREF _Toc198652002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0C34984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"_Toc198652003" </w:instrText>
          </w:r>
          <w:r>
            <w:fldChar w:fldCharType="separate"/>
          </w:r>
          <w:r>
            <w:rPr>
              <w:rStyle w:val="22"/>
              <w:rFonts w:hint="eastAsia" w:eastAsia="黑体" w:cs="Times New Roman"/>
              <w:kern w:val="0"/>
            </w:rPr>
            <w:t>1.3.1节水控水方面</w:t>
          </w:r>
          <w:r>
            <w:rPr>
              <w:rFonts w:hint="eastAsia"/>
            </w:rPr>
            <w:tab/>
          </w:r>
          <w:r>
            <w:rPr>
              <w:rFonts w:hint="eastAsia"/>
            </w:rPr>
            <w:fldChar w:fldCharType="begin"/>
          </w:r>
          <w:r>
            <w:rPr>
              <w:rFonts w:hint="eastAsia"/>
            </w:rPr>
            <w:instrText xml:space="preserve"> </w:instrText>
          </w:r>
          <w:r>
            <w:instrText xml:space="preserve">PAGEREF _Toc198652003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58C3D04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"_Toc198652004" </w:instrText>
          </w:r>
          <w:r>
            <w:fldChar w:fldCharType="separate"/>
          </w:r>
          <w:r>
            <w:rPr>
              <w:rStyle w:val="22"/>
              <w:rFonts w:hint="eastAsia" w:eastAsia="黑体" w:cs="Times New Roman"/>
              <w:kern w:val="0"/>
            </w:rPr>
            <w:t>1.3.2供水保障</w:t>
          </w:r>
          <w:r>
            <w:rPr>
              <w:rFonts w:hint="eastAsia"/>
            </w:rPr>
            <w:tab/>
          </w:r>
          <w:r>
            <w:rPr>
              <w:rFonts w:hint="eastAsia"/>
            </w:rPr>
            <w:fldChar w:fldCharType="begin"/>
          </w:r>
          <w:r>
            <w:rPr>
              <w:rFonts w:hint="eastAsia"/>
            </w:rPr>
            <w:instrText xml:space="preserve"> </w:instrText>
          </w:r>
          <w:r>
            <w:instrText xml:space="preserve">PAGEREF _Toc198652004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6B1971B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"_Toc198652005" </w:instrText>
          </w:r>
          <w:r>
            <w:fldChar w:fldCharType="separate"/>
          </w:r>
          <w:r>
            <w:rPr>
              <w:rStyle w:val="22"/>
              <w:rFonts w:hint="eastAsia" w:eastAsia="黑体" w:cs="Times New Roman"/>
              <w:kern w:val="0"/>
            </w:rPr>
            <w:t>1.3.3防洪减灾</w:t>
          </w:r>
          <w:r>
            <w:rPr>
              <w:rFonts w:hint="eastAsia"/>
            </w:rPr>
            <w:tab/>
          </w:r>
          <w:r>
            <w:rPr>
              <w:rFonts w:hint="eastAsia"/>
            </w:rPr>
            <w:fldChar w:fldCharType="begin"/>
          </w:r>
          <w:r>
            <w:rPr>
              <w:rFonts w:hint="eastAsia"/>
            </w:rPr>
            <w:instrText xml:space="preserve"> </w:instrText>
          </w:r>
          <w:r>
            <w:instrText xml:space="preserve">PAGEREF _Toc198652005 \h</w:instrText>
          </w:r>
          <w:r>
            <w:rPr>
              <w:rFonts w:hint="eastAsia"/>
            </w:rPr>
            <w:instrText xml:space="preserve"> </w:instrText>
          </w:r>
          <w:r>
            <w:rPr>
              <w:rFonts w:hint="eastAsia"/>
            </w:rPr>
            <w:fldChar w:fldCharType="separate"/>
          </w:r>
          <w:r>
            <w:t>17</w:t>
          </w:r>
          <w:r>
            <w:rPr>
              <w:rFonts w:hint="eastAsia"/>
            </w:rPr>
            <w:fldChar w:fldCharType="end"/>
          </w:r>
          <w:r>
            <w:rPr>
              <w:rFonts w:hint="eastAsia"/>
            </w:rPr>
            <w:fldChar w:fldCharType="end"/>
          </w:r>
        </w:p>
        <w:p w14:paraId="4A2BFEA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"_Toc198652006" </w:instrText>
          </w:r>
          <w:r>
            <w:fldChar w:fldCharType="separate"/>
          </w:r>
          <w:r>
            <w:rPr>
              <w:rStyle w:val="22"/>
              <w:rFonts w:hint="eastAsia" w:eastAsia="黑体" w:cs="Times New Roman"/>
              <w:kern w:val="0"/>
            </w:rPr>
            <w:t>1.3.4水生态环境</w:t>
          </w:r>
          <w:r>
            <w:rPr>
              <w:rFonts w:hint="eastAsia"/>
            </w:rPr>
            <w:tab/>
          </w:r>
          <w:r>
            <w:rPr>
              <w:rFonts w:hint="eastAsia"/>
            </w:rPr>
            <w:fldChar w:fldCharType="begin"/>
          </w:r>
          <w:r>
            <w:rPr>
              <w:rFonts w:hint="eastAsia"/>
            </w:rPr>
            <w:instrText xml:space="preserve"> </w:instrText>
          </w:r>
          <w:r>
            <w:instrText xml:space="preserve">PAGEREF _Toc198652006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14D514AD">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"_Toc198652007" </w:instrText>
          </w:r>
          <w:r>
            <w:fldChar w:fldCharType="separate"/>
          </w:r>
          <w:r>
            <w:rPr>
              <w:rStyle w:val="22"/>
              <w:rFonts w:hint="eastAsia" w:eastAsia="黑体" w:cs="Times New Roman"/>
              <w:kern w:val="0"/>
            </w:rPr>
            <w:t>1.3.5管理体制</w:t>
          </w:r>
          <w:r>
            <w:rPr>
              <w:rFonts w:hint="eastAsia"/>
            </w:rPr>
            <w:tab/>
          </w:r>
          <w:r>
            <w:rPr>
              <w:rFonts w:hint="eastAsia"/>
            </w:rPr>
            <w:fldChar w:fldCharType="begin"/>
          </w:r>
          <w:r>
            <w:rPr>
              <w:rFonts w:hint="eastAsia"/>
            </w:rPr>
            <w:instrText xml:space="preserve"> </w:instrText>
          </w:r>
          <w:r>
            <w:instrText xml:space="preserve">PAGEREF _Toc198652007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14:paraId="4D86F9AD">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"_Toc198652008" </w:instrText>
          </w:r>
          <w:r>
            <w:fldChar w:fldCharType="separate"/>
          </w:r>
          <w:r>
            <w:rPr>
              <w:rStyle w:val="22"/>
              <w:rFonts w:hint="eastAsia" w:eastAsia="黑体" w:cs="Times New Roman"/>
              <w:kern w:val="0"/>
            </w:rPr>
            <w:t>1.4面临形势</w:t>
          </w:r>
          <w:r>
            <w:rPr>
              <w:rFonts w:hint="eastAsia"/>
            </w:rPr>
            <w:tab/>
          </w:r>
          <w:r>
            <w:rPr>
              <w:rFonts w:hint="eastAsia"/>
            </w:rPr>
            <w:fldChar w:fldCharType="begin"/>
          </w:r>
          <w:r>
            <w:rPr>
              <w:rFonts w:hint="eastAsia"/>
            </w:rPr>
            <w:instrText xml:space="preserve"> </w:instrText>
          </w:r>
          <w:r>
            <w:instrText xml:space="preserve">PAGEREF _Toc198652008 \h</w:instrText>
          </w:r>
          <w:r>
            <w:rPr>
              <w:rFonts w:hint="eastAsia"/>
            </w:rPr>
            <w:instrText xml:space="preserve"> </w:instrText>
          </w:r>
          <w:r>
            <w:rPr>
              <w:rFonts w:hint="eastAsia"/>
            </w:rPr>
            <w:fldChar w:fldCharType="separate"/>
          </w:r>
          <w:r>
            <w:t>22</w:t>
          </w:r>
          <w:r>
            <w:rPr>
              <w:rFonts w:hint="eastAsia"/>
            </w:rPr>
            <w:fldChar w:fldCharType="end"/>
          </w:r>
          <w:r>
            <w:rPr>
              <w:rFonts w:hint="eastAsia"/>
            </w:rPr>
            <w:fldChar w:fldCharType="end"/>
          </w:r>
        </w:p>
        <w:p w14:paraId="4E2550F7">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"_Toc198652009" </w:instrText>
          </w:r>
          <w:r>
            <w:fldChar w:fldCharType="separate"/>
          </w:r>
          <w:r>
            <w:rPr>
              <w:rStyle w:val="22"/>
              <w:rFonts w:hint="eastAsia" w:eastAsia="黑体" w:cs="Times New Roman"/>
            </w:rPr>
            <w:t>2总体思路</w:t>
          </w:r>
          <w:r>
            <w:rPr>
              <w:rFonts w:hint="eastAsia"/>
            </w:rPr>
            <w:tab/>
          </w:r>
          <w:r>
            <w:rPr>
              <w:rFonts w:hint="eastAsia"/>
            </w:rPr>
            <w:fldChar w:fldCharType="begin"/>
          </w:r>
          <w:r>
            <w:rPr>
              <w:rFonts w:hint="eastAsia"/>
            </w:rPr>
            <w:instrText xml:space="preserve"> </w:instrText>
          </w:r>
          <w:r>
            <w:instrText xml:space="preserve">PAGEREF _Toc198652009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089FFBE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"_Toc198652010" </w:instrText>
          </w:r>
          <w:r>
            <w:fldChar w:fldCharType="separate"/>
          </w:r>
          <w:r>
            <w:rPr>
              <w:rStyle w:val="22"/>
              <w:rFonts w:hint="eastAsia" w:eastAsia="黑体" w:cs="Times New Roman"/>
              <w:kern w:val="0"/>
            </w:rPr>
            <w:t>2.1指导思想</w:t>
          </w:r>
          <w:r>
            <w:rPr>
              <w:rFonts w:hint="eastAsia"/>
            </w:rPr>
            <w:tab/>
          </w:r>
          <w:r>
            <w:rPr>
              <w:rFonts w:hint="eastAsia"/>
            </w:rPr>
            <w:fldChar w:fldCharType="begin"/>
          </w:r>
          <w:r>
            <w:rPr>
              <w:rFonts w:hint="eastAsia"/>
            </w:rPr>
            <w:instrText xml:space="preserve"> </w:instrText>
          </w:r>
          <w:r>
            <w:instrText xml:space="preserve">PAGEREF _Toc198652010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7C8ED30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"_Toc198652011" </w:instrText>
          </w:r>
          <w:r>
            <w:fldChar w:fldCharType="separate"/>
          </w:r>
          <w:r>
            <w:rPr>
              <w:rStyle w:val="22"/>
              <w:rFonts w:hint="eastAsia" w:eastAsia="黑体" w:cs="Times New Roman"/>
              <w:kern w:val="0"/>
            </w:rPr>
            <w:t>2.2基本原则</w:t>
          </w:r>
          <w:r>
            <w:rPr>
              <w:rFonts w:hint="eastAsia"/>
            </w:rPr>
            <w:tab/>
          </w:r>
          <w:r>
            <w:rPr>
              <w:rFonts w:hint="eastAsia"/>
            </w:rPr>
            <w:fldChar w:fldCharType="begin"/>
          </w:r>
          <w:r>
            <w:rPr>
              <w:rFonts w:hint="eastAsia"/>
            </w:rPr>
            <w:instrText xml:space="preserve"> </w:instrText>
          </w:r>
          <w:r>
            <w:instrText xml:space="preserve">PAGEREF _Toc198652011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0E41DFA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"_Toc198652012" </w:instrText>
          </w:r>
          <w:r>
            <w:fldChar w:fldCharType="separate"/>
          </w:r>
          <w:r>
            <w:rPr>
              <w:rStyle w:val="22"/>
              <w:rFonts w:hint="eastAsia" w:eastAsia="黑体" w:cs="Times New Roman"/>
              <w:kern w:val="0"/>
            </w:rPr>
            <w:t>2.3规划范围与水平年</w:t>
          </w:r>
          <w:r>
            <w:rPr>
              <w:rFonts w:hint="eastAsia"/>
            </w:rPr>
            <w:tab/>
          </w:r>
          <w:r>
            <w:rPr>
              <w:rFonts w:hint="eastAsia"/>
            </w:rPr>
            <w:fldChar w:fldCharType="begin"/>
          </w:r>
          <w:r>
            <w:rPr>
              <w:rFonts w:hint="eastAsia"/>
            </w:rPr>
            <w:instrText xml:space="preserve"> </w:instrText>
          </w:r>
          <w:r>
            <w:instrText xml:space="preserve">PAGEREF _Toc198652012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102CC62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"_Toc198652013" </w:instrText>
          </w:r>
          <w:r>
            <w:fldChar w:fldCharType="separate"/>
          </w:r>
          <w:r>
            <w:rPr>
              <w:rStyle w:val="22"/>
              <w:rFonts w:hint="eastAsia" w:eastAsia="黑体" w:cs="Times New Roman"/>
              <w:kern w:val="0"/>
            </w:rPr>
            <w:t>2.3.1规划范围</w:t>
          </w:r>
          <w:r>
            <w:rPr>
              <w:rFonts w:hint="eastAsia"/>
            </w:rPr>
            <w:tab/>
          </w:r>
          <w:r>
            <w:rPr>
              <w:rFonts w:hint="eastAsia"/>
            </w:rPr>
            <w:fldChar w:fldCharType="begin"/>
          </w:r>
          <w:r>
            <w:rPr>
              <w:rFonts w:hint="eastAsia"/>
            </w:rPr>
            <w:instrText xml:space="preserve"> </w:instrText>
          </w:r>
          <w:r>
            <w:instrText xml:space="preserve">PAGEREF _Toc198652013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20BBB060">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"_Toc198652014" </w:instrText>
          </w:r>
          <w:r>
            <w:fldChar w:fldCharType="separate"/>
          </w:r>
          <w:r>
            <w:rPr>
              <w:rStyle w:val="22"/>
              <w:rFonts w:hint="eastAsia" w:eastAsia="黑体" w:cs="Times New Roman"/>
              <w:kern w:val="0"/>
            </w:rPr>
            <w:t>2.3.2规划水平年</w:t>
          </w:r>
          <w:r>
            <w:rPr>
              <w:rFonts w:hint="eastAsia"/>
            </w:rPr>
            <w:tab/>
          </w:r>
          <w:r>
            <w:rPr>
              <w:rFonts w:hint="eastAsia"/>
            </w:rPr>
            <w:fldChar w:fldCharType="begin"/>
          </w:r>
          <w:r>
            <w:rPr>
              <w:rFonts w:hint="eastAsia"/>
            </w:rPr>
            <w:instrText xml:space="preserve"> </w:instrText>
          </w:r>
          <w:r>
            <w:instrText xml:space="preserve">PAGEREF _Toc198652014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5B6A084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"_Toc198652015" </w:instrText>
          </w:r>
          <w:r>
            <w:fldChar w:fldCharType="separate"/>
          </w:r>
          <w:r>
            <w:rPr>
              <w:rStyle w:val="22"/>
              <w:rFonts w:hint="eastAsia" w:eastAsia="黑体" w:cs="Times New Roman"/>
              <w:kern w:val="0"/>
            </w:rPr>
            <w:t>2.4规划目标</w:t>
          </w:r>
          <w:r>
            <w:rPr>
              <w:rFonts w:hint="eastAsia"/>
            </w:rPr>
            <w:tab/>
          </w:r>
          <w:r>
            <w:rPr>
              <w:rFonts w:hint="eastAsia"/>
            </w:rPr>
            <w:fldChar w:fldCharType="begin"/>
          </w:r>
          <w:r>
            <w:rPr>
              <w:rFonts w:hint="eastAsia"/>
            </w:rPr>
            <w:instrText xml:space="preserve"> </w:instrText>
          </w:r>
          <w:r>
            <w:instrText xml:space="preserve">PAGEREF _Toc198652015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0DCD390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"_Toc198652016" </w:instrText>
          </w:r>
          <w:r>
            <w:fldChar w:fldCharType="separate"/>
          </w:r>
          <w:r>
            <w:rPr>
              <w:rStyle w:val="22"/>
              <w:rFonts w:hint="eastAsia" w:eastAsia="黑体" w:cs="Times New Roman"/>
              <w:kern w:val="0"/>
            </w:rPr>
            <w:t>2.4.1节水目标</w:t>
          </w:r>
          <w:r>
            <w:rPr>
              <w:rFonts w:hint="eastAsia"/>
            </w:rPr>
            <w:tab/>
          </w:r>
          <w:r>
            <w:rPr>
              <w:rFonts w:hint="eastAsia"/>
            </w:rPr>
            <w:fldChar w:fldCharType="begin"/>
          </w:r>
          <w:r>
            <w:rPr>
              <w:rFonts w:hint="eastAsia"/>
            </w:rPr>
            <w:instrText xml:space="preserve"> </w:instrText>
          </w:r>
          <w:r>
            <w:instrText xml:space="preserve">PAGEREF _Toc198652016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1510BCB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"_Toc198652017" </w:instrText>
          </w:r>
          <w:r>
            <w:fldChar w:fldCharType="separate"/>
          </w:r>
          <w:r>
            <w:rPr>
              <w:rStyle w:val="22"/>
              <w:rFonts w:hint="eastAsia" w:eastAsia="黑体" w:cs="Times New Roman"/>
              <w:kern w:val="0"/>
            </w:rPr>
            <w:t>2.4.2水资源配置与保障</w:t>
          </w:r>
          <w:r>
            <w:rPr>
              <w:rFonts w:hint="eastAsia"/>
            </w:rPr>
            <w:tab/>
          </w:r>
          <w:r>
            <w:rPr>
              <w:rFonts w:hint="eastAsia"/>
            </w:rPr>
            <w:fldChar w:fldCharType="begin"/>
          </w:r>
          <w:r>
            <w:rPr>
              <w:rFonts w:hint="eastAsia"/>
            </w:rPr>
            <w:instrText xml:space="preserve"> </w:instrText>
          </w:r>
          <w:r>
            <w:instrText xml:space="preserve">PAGEREF _Toc198652017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3E23D0A1">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"_Toc198652018" </w:instrText>
          </w:r>
          <w:r>
            <w:fldChar w:fldCharType="separate"/>
          </w:r>
          <w:r>
            <w:rPr>
              <w:rStyle w:val="22"/>
              <w:rFonts w:hint="eastAsia" w:eastAsia="黑体" w:cs="Times New Roman"/>
              <w:kern w:val="0"/>
            </w:rPr>
            <w:t>2.4.3流域防洪排涝减灾</w:t>
          </w:r>
          <w:r>
            <w:rPr>
              <w:rFonts w:hint="eastAsia"/>
            </w:rPr>
            <w:tab/>
          </w:r>
          <w:r>
            <w:rPr>
              <w:rFonts w:hint="eastAsia"/>
            </w:rPr>
            <w:fldChar w:fldCharType="begin"/>
          </w:r>
          <w:r>
            <w:rPr>
              <w:rFonts w:hint="eastAsia"/>
            </w:rPr>
            <w:instrText xml:space="preserve"> </w:instrText>
          </w:r>
          <w:r>
            <w:instrText xml:space="preserve">PAGEREF _Toc198652018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7F0793C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"_Toc198652019" </w:instrText>
          </w:r>
          <w:r>
            <w:fldChar w:fldCharType="separate"/>
          </w:r>
          <w:r>
            <w:rPr>
              <w:rStyle w:val="22"/>
              <w:rFonts w:hint="eastAsia" w:eastAsia="黑体" w:cs="Times New Roman"/>
              <w:kern w:val="0"/>
            </w:rPr>
            <w:t>2.4.4水生态保护治理</w:t>
          </w:r>
          <w:r>
            <w:rPr>
              <w:rFonts w:hint="eastAsia"/>
            </w:rPr>
            <w:tab/>
          </w:r>
          <w:r>
            <w:rPr>
              <w:rFonts w:hint="eastAsia"/>
            </w:rPr>
            <w:fldChar w:fldCharType="begin"/>
          </w:r>
          <w:r>
            <w:rPr>
              <w:rFonts w:hint="eastAsia"/>
            </w:rPr>
            <w:instrText xml:space="preserve"> </w:instrText>
          </w:r>
          <w:r>
            <w:instrText xml:space="preserve">PAGEREF _Toc198652019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60BCB9E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"_Toc198652020" </w:instrText>
          </w:r>
          <w:r>
            <w:fldChar w:fldCharType="separate"/>
          </w:r>
          <w:r>
            <w:rPr>
              <w:rStyle w:val="22"/>
              <w:rFonts w:hint="eastAsia" w:eastAsia="黑体" w:cs="Times New Roman"/>
              <w:kern w:val="0"/>
            </w:rPr>
            <w:t>2.4.5数字孪生水网建设规划</w:t>
          </w:r>
          <w:r>
            <w:rPr>
              <w:rFonts w:hint="eastAsia"/>
            </w:rPr>
            <w:tab/>
          </w:r>
          <w:r>
            <w:rPr>
              <w:rFonts w:hint="eastAsia"/>
            </w:rPr>
            <w:fldChar w:fldCharType="begin"/>
          </w:r>
          <w:r>
            <w:rPr>
              <w:rFonts w:hint="eastAsia"/>
            </w:rPr>
            <w:instrText xml:space="preserve"> </w:instrText>
          </w:r>
          <w:r>
            <w:instrText xml:space="preserve">PAGEREF _Toc198652020 \h</w:instrText>
          </w:r>
          <w:r>
            <w:rPr>
              <w:rFonts w:hint="eastAsia"/>
            </w:rPr>
            <w:instrText xml:space="preserve"> </w:instrText>
          </w:r>
          <w:r>
            <w:rPr>
              <w:rFonts w:hint="eastAsia"/>
            </w:rPr>
            <w:fldChar w:fldCharType="separate"/>
          </w:r>
          <w:r>
            <w:t>29</w:t>
          </w:r>
          <w:r>
            <w:rPr>
              <w:rFonts w:hint="eastAsia"/>
            </w:rPr>
            <w:fldChar w:fldCharType="end"/>
          </w:r>
          <w:r>
            <w:rPr>
              <w:rFonts w:hint="eastAsia"/>
            </w:rPr>
            <w:fldChar w:fldCharType="end"/>
          </w:r>
        </w:p>
        <w:p w14:paraId="43344B0D">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"_Toc198652021" </w:instrText>
          </w:r>
          <w:r>
            <w:fldChar w:fldCharType="separate"/>
          </w:r>
          <w:r>
            <w:rPr>
              <w:rStyle w:val="22"/>
              <w:rFonts w:hint="eastAsia" w:eastAsia="黑体" w:cs="Times New Roman"/>
              <w:kern w:val="0"/>
            </w:rPr>
            <w:t>2.4.6规划目标指标</w:t>
          </w:r>
          <w:r>
            <w:rPr>
              <w:rFonts w:hint="eastAsia"/>
            </w:rPr>
            <w:tab/>
          </w:r>
          <w:r>
            <w:rPr>
              <w:rFonts w:hint="eastAsia"/>
            </w:rPr>
            <w:fldChar w:fldCharType="begin"/>
          </w:r>
          <w:r>
            <w:rPr>
              <w:rFonts w:hint="eastAsia"/>
            </w:rPr>
            <w:instrText xml:space="preserve"> </w:instrText>
          </w:r>
          <w:r>
            <w:instrText xml:space="preserve">PAGEREF _Toc198652021 \h</w:instrText>
          </w:r>
          <w:r>
            <w:rPr>
              <w:rFonts w:hint="eastAsia"/>
            </w:rPr>
            <w:instrText xml:space="preserve"> </w:instrText>
          </w:r>
          <w:r>
            <w:rPr>
              <w:rFonts w:hint="eastAsia"/>
            </w:rPr>
            <w:fldChar w:fldCharType="separate"/>
          </w:r>
          <w:r>
            <w:t>29</w:t>
          </w:r>
          <w:r>
            <w:rPr>
              <w:rFonts w:hint="eastAsia"/>
            </w:rPr>
            <w:fldChar w:fldCharType="end"/>
          </w:r>
          <w:r>
            <w:rPr>
              <w:rFonts w:hint="eastAsia"/>
            </w:rPr>
            <w:fldChar w:fldCharType="end"/>
          </w:r>
        </w:p>
        <w:p w14:paraId="483008C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"_Toc198652022" </w:instrText>
          </w:r>
          <w:r>
            <w:fldChar w:fldCharType="separate"/>
          </w:r>
          <w:r>
            <w:rPr>
              <w:rStyle w:val="22"/>
              <w:rFonts w:hint="eastAsia" w:eastAsia="黑体" w:cs="Times New Roman"/>
              <w:kern w:val="0"/>
            </w:rPr>
            <w:t>2.5规划布局</w:t>
          </w:r>
          <w:r>
            <w:rPr>
              <w:rFonts w:hint="eastAsia"/>
            </w:rPr>
            <w:tab/>
          </w:r>
          <w:r>
            <w:rPr>
              <w:rFonts w:hint="eastAsia"/>
            </w:rPr>
            <w:fldChar w:fldCharType="begin"/>
          </w:r>
          <w:r>
            <w:rPr>
              <w:rFonts w:hint="eastAsia"/>
            </w:rPr>
            <w:instrText xml:space="preserve"> </w:instrText>
          </w:r>
          <w:r>
            <w:instrText xml:space="preserve">PAGEREF _Toc198652022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75CE09C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"_Toc198652023" </w:instrText>
          </w:r>
          <w:r>
            <w:fldChar w:fldCharType="separate"/>
          </w:r>
          <w:r>
            <w:rPr>
              <w:rStyle w:val="22"/>
              <w:rFonts w:hint="eastAsia" w:eastAsia="黑体" w:cs="Times New Roman"/>
              <w:kern w:val="0"/>
            </w:rPr>
            <w:t>2.5.1战略推进</w:t>
          </w:r>
          <w:r>
            <w:rPr>
              <w:rFonts w:hint="eastAsia"/>
            </w:rPr>
            <w:tab/>
          </w:r>
          <w:r>
            <w:rPr>
              <w:rFonts w:hint="eastAsia"/>
            </w:rPr>
            <w:fldChar w:fldCharType="begin"/>
          </w:r>
          <w:r>
            <w:rPr>
              <w:rFonts w:hint="eastAsia"/>
            </w:rPr>
            <w:instrText xml:space="preserve"> </w:instrText>
          </w:r>
          <w:r>
            <w:instrText xml:space="preserve">PAGEREF _Toc198652023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7C59A2FA">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"_Toc198652024" </w:instrText>
          </w:r>
          <w:r>
            <w:fldChar w:fldCharType="separate"/>
          </w:r>
          <w:r>
            <w:rPr>
              <w:rStyle w:val="22"/>
              <w:rFonts w:hint="eastAsia" w:eastAsia="黑体" w:cs="Times New Roman"/>
              <w:kern w:val="0"/>
            </w:rPr>
            <w:t>2.5.2总体布局</w:t>
          </w:r>
          <w:r>
            <w:rPr>
              <w:rFonts w:hint="eastAsia"/>
            </w:rPr>
            <w:tab/>
          </w:r>
          <w:r>
            <w:rPr>
              <w:rFonts w:hint="eastAsia"/>
            </w:rPr>
            <w:fldChar w:fldCharType="begin"/>
          </w:r>
          <w:r>
            <w:rPr>
              <w:rFonts w:hint="eastAsia"/>
            </w:rPr>
            <w:instrText xml:space="preserve"> </w:instrText>
          </w:r>
          <w:r>
            <w:instrText xml:space="preserve">PAGEREF _Toc198652024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15CE5DE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"_Toc198652025" </w:instrText>
          </w:r>
          <w:r>
            <w:fldChar w:fldCharType="separate"/>
          </w:r>
          <w:r>
            <w:rPr>
              <w:rStyle w:val="22"/>
              <w:rFonts w:hint="eastAsia" w:eastAsia="黑体" w:cs="Times New Roman"/>
              <w:kern w:val="0"/>
            </w:rPr>
            <w:t>2.6主要任务</w:t>
          </w:r>
          <w:r>
            <w:rPr>
              <w:rFonts w:hint="eastAsia"/>
            </w:rPr>
            <w:tab/>
          </w:r>
          <w:r>
            <w:rPr>
              <w:rFonts w:hint="eastAsia"/>
            </w:rPr>
            <w:fldChar w:fldCharType="begin"/>
          </w:r>
          <w:r>
            <w:rPr>
              <w:rFonts w:hint="eastAsia"/>
            </w:rPr>
            <w:instrText xml:space="preserve"> </w:instrText>
          </w:r>
          <w:r>
            <w:instrText xml:space="preserve">PAGEREF _Toc198652025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28F58EA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"_Toc198652026" </w:instrText>
          </w:r>
          <w:r>
            <w:fldChar w:fldCharType="separate"/>
          </w:r>
          <w:r>
            <w:rPr>
              <w:rStyle w:val="22"/>
              <w:rFonts w:hint="eastAsia" w:eastAsia="黑体" w:cs="Times New Roman"/>
              <w:kern w:val="0"/>
            </w:rPr>
            <w:t>2.6.1节水控水</w:t>
          </w:r>
          <w:r>
            <w:rPr>
              <w:rFonts w:hint="eastAsia"/>
            </w:rPr>
            <w:tab/>
          </w:r>
          <w:r>
            <w:rPr>
              <w:rFonts w:hint="eastAsia"/>
            </w:rPr>
            <w:fldChar w:fldCharType="begin"/>
          </w:r>
          <w:r>
            <w:rPr>
              <w:rFonts w:hint="eastAsia"/>
            </w:rPr>
            <w:instrText xml:space="preserve"> </w:instrText>
          </w:r>
          <w:r>
            <w:instrText xml:space="preserve">PAGEREF _Toc198652026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6F6F9DA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"_Toc198652027" </w:instrText>
          </w:r>
          <w:r>
            <w:fldChar w:fldCharType="separate"/>
          </w:r>
          <w:r>
            <w:rPr>
              <w:rStyle w:val="22"/>
              <w:rFonts w:hint="eastAsia" w:eastAsia="黑体" w:cs="Times New Roman"/>
              <w:kern w:val="0"/>
            </w:rPr>
            <w:t>2.6.2水资源配置与保障</w:t>
          </w:r>
          <w:r>
            <w:rPr>
              <w:rFonts w:hint="eastAsia"/>
            </w:rPr>
            <w:tab/>
          </w:r>
          <w:r>
            <w:rPr>
              <w:rFonts w:hint="eastAsia"/>
            </w:rPr>
            <w:fldChar w:fldCharType="begin"/>
          </w:r>
          <w:r>
            <w:rPr>
              <w:rFonts w:hint="eastAsia"/>
            </w:rPr>
            <w:instrText xml:space="preserve"> </w:instrText>
          </w:r>
          <w:r>
            <w:instrText xml:space="preserve">PAGEREF _Toc198652027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14:paraId="27FFCD7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"_Toc198652028" </w:instrText>
          </w:r>
          <w:r>
            <w:fldChar w:fldCharType="separate"/>
          </w:r>
          <w:r>
            <w:rPr>
              <w:rStyle w:val="22"/>
              <w:rFonts w:hint="eastAsia" w:eastAsia="黑体" w:cs="Times New Roman"/>
              <w:kern w:val="0"/>
            </w:rPr>
            <w:t>2.6.3流域防洪排涝减灾</w:t>
          </w:r>
          <w:r>
            <w:rPr>
              <w:rFonts w:hint="eastAsia"/>
            </w:rPr>
            <w:tab/>
          </w:r>
          <w:r>
            <w:rPr>
              <w:rFonts w:hint="eastAsia"/>
            </w:rPr>
            <w:fldChar w:fldCharType="begin"/>
          </w:r>
          <w:r>
            <w:rPr>
              <w:rFonts w:hint="eastAsia"/>
            </w:rPr>
            <w:instrText xml:space="preserve"> </w:instrText>
          </w:r>
          <w:r>
            <w:instrText xml:space="preserve">PAGEREF _Toc198652028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14:paraId="1B7AE25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"_Toc198652029" </w:instrText>
          </w:r>
          <w:r>
            <w:fldChar w:fldCharType="separate"/>
          </w:r>
          <w:r>
            <w:rPr>
              <w:rStyle w:val="22"/>
              <w:rFonts w:hint="eastAsia" w:eastAsia="黑体" w:cs="Times New Roman"/>
              <w:kern w:val="0"/>
            </w:rPr>
            <w:t>2.6.4水生态保护治理</w:t>
          </w:r>
          <w:r>
            <w:rPr>
              <w:rFonts w:hint="eastAsia"/>
            </w:rPr>
            <w:tab/>
          </w:r>
          <w:r>
            <w:rPr>
              <w:rFonts w:hint="eastAsia"/>
            </w:rPr>
            <w:fldChar w:fldCharType="begin"/>
          </w:r>
          <w:r>
            <w:rPr>
              <w:rFonts w:hint="eastAsia"/>
            </w:rPr>
            <w:instrText xml:space="preserve"> </w:instrText>
          </w:r>
          <w:r>
            <w:instrText xml:space="preserve">PAGEREF _Toc198652029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14:paraId="544A0AB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"_Toc198652030" </w:instrText>
          </w:r>
          <w:r>
            <w:fldChar w:fldCharType="separate"/>
          </w:r>
          <w:r>
            <w:rPr>
              <w:rStyle w:val="22"/>
              <w:rFonts w:hint="eastAsia" w:eastAsia="黑体" w:cs="Times New Roman"/>
              <w:kern w:val="0"/>
            </w:rPr>
            <w:t>2.6.5数字孪生水网建设</w:t>
          </w:r>
          <w:r>
            <w:rPr>
              <w:rFonts w:hint="eastAsia"/>
            </w:rPr>
            <w:tab/>
          </w:r>
          <w:r>
            <w:rPr>
              <w:rFonts w:hint="eastAsia"/>
            </w:rPr>
            <w:fldChar w:fldCharType="begin"/>
          </w:r>
          <w:r>
            <w:rPr>
              <w:rFonts w:hint="eastAsia"/>
            </w:rPr>
            <w:instrText xml:space="preserve"> </w:instrText>
          </w:r>
          <w:r>
            <w:instrText xml:space="preserve">PAGEREF _Toc198652030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3789993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"_Toc198652031" </w:instrText>
          </w:r>
          <w:r>
            <w:fldChar w:fldCharType="separate"/>
          </w:r>
          <w:r>
            <w:rPr>
              <w:rStyle w:val="22"/>
              <w:rFonts w:hint="eastAsia" w:eastAsia="黑体" w:cs="Times New Roman"/>
              <w:kern w:val="0"/>
            </w:rPr>
            <w:t>2.7水网协同融合发展</w:t>
          </w:r>
          <w:r>
            <w:rPr>
              <w:rFonts w:hint="eastAsia"/>
            </w:rPr>
            <w:tab/>
          </w:r>
          <w:r>
            <w:rPr>
              <w:rFonts w:hint="eastAsia"/>
            </w:rPr>
            <w:fldChar w:fldCharType="begin"/>
          </w:r>
          <w:r>
            <w:rPr>
              <w:rFonts w:hint="eastAsia"/>
            </w:rPr>
            <w:instrText xml:space="preserve"> </w:instrText>
          </w:r>
          <w:r>
            <w:instrText xml:space="preserve">PAGEREF _Toc198652031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34C6EC08">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"_Toc198652032" </w:instrText>
          </w:r>
          <w:r>
            <w:fldChar w:fldCharType="separate"/>
          </w:r>
          <w:r>
            <w:rPr>
              <w:rStyle w:val="22"/>
              <w:rFonts w:hint="eastAsia" w:eastAsia="黑体" w:cs="Times New Roman"/>
            </w:rPr>
            <w:t>3构建防洪排涝网</w:t>
          </w:r>
          <w:r>
            <w:rPr>
              <w:rFonts w:hint="eastAsia"/>
            </w:rPr>
            <w:tab/>
          </w:r>
          <w:r>
            <w:rPr>
              <w:rFonts w:hint="eastAsia"/>
            </w:rPr>
            <w:fldChar w:fldCharType="begin"/>
          </w:r>
          <w:r>
            <w:rPr>
              <w:rFonts w:hint="eastAsia"/>
            </w:rPr>
            <w:instrText xml:space="preserve"> </w:instrText>
          </w:r>
          <w:r>
            <w:instrText xml:space="preserve">PAGEREF _Toc198652032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14:paraId="4E59B2B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"_Toc198652033" </w:instrText>
          </w:r>
          <w:r>
            <w:fldChar w:fldCharType="separate"/>
          </w:r>
          <w:r>
            <w:rPr>
              <w:rStyle w:val="22"/>
              <w:rFonts w:hint="eastAsia" w:eastAsia="黑体" w:cs="Times New Roman"/>
              <w:kern w:val="0"/>
            </w:rPr>
            <w:t>3.1基本思路</w:t>
          </w:r>
          <w:r>
            <w:rPr>
              <w:rFonts w:hint="eastAsia"/>
            </w:rPr>
            <w:tab/>
          </w:r>
          <w:r>
            <w:rPr>
              <w:rFonts w:hint="eastAsia"/>
            </w:rPr>
            <w:fldChar w:fldCharType="begin"/>
          </w:r>
          <w:r>
            <w:rPr>
              <w:rFonts w:hint="eastAsia"/>
            </w:rPr>
            <w:instrText xml:space="preserve"> </w:instrText>
          </w:r>
          <w:r>
            <w:instrText xml:space="preserve">PAGEREF _Toc198652033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14:paraId="6229FF1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"_Toc198652034" </w:instrText>
          </w:r>
          <w:r>
            <w:fldChar w:fldCharType="separate"/>
          </w:r>
          <w:r>
            <w:rPr>
              <w:rStyle w:val="22"/>
              <w:rFonts w:hint="eastAsia" w:eastAsia="黑体" w:cs="Times New Roman"/>
              <w:kern w:val="0"/>
            </w:rPr>
            <w:t>3.2确定防洪标准和布局</w:t>
          </w:r>
          <w:r>
            <w:rPr>
              <w:rFonts w:hint="eastAsia"/>
            </w:rPr>
            <w:tab/>
          </w:r>
          <w:r>
            <w:rPr>
              <w:rFonts w:hint="eastAsia"/>
            </w:rPr>
            <w:fldChar w:fldCharType="begin"/>
          </w:r>
          <w:r>
            <w:rPr>
              <w:rFonts w:hint="eastAsia"/>
            </w:rPr>
            <w:instrText xml:space="preserve"> </w:instrText>
          </w:r>
          <w:r>
            <w:instrText xml:space="preserve">PAGEREF _Toc198652034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14:paraId="002B91FD">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"_Toc198652035" </w:instrText>
          </w:r>
          <w:r>
            <w:fldChar w:fldCharType="separate"/>
          </w:r>
          <w:r>
            <w:rPr>
              <w:rStyle w:val="22"/>
              <w:rFonts w:hint="eastAsia" w:eastAsia="黑体" w:cs="Times New Roman"/>
              <w:kern w:val="0"/>
            </w:rPr>
            <w:t>3.2.1防洪标准</w:t>
          </w:r>
          <w:r>
            <w:rPr>
              <w:rFonts w:hint="eastAsia"/>
            </w:rPr>
            <w:tab/>
          </w:r>
          <w:r>
            <w:rPr>
              <w:rFonts w:hint="eastAsia"/>
            </w:rPr>
            <w:fldChar w:fldCharType="begin"/>
          </w:r>
          <w:r>
            <w:rPr>
              <w:rFonts w:hint="eastAsia"/>
            </w:rPr>
            <w:instrText xml:space="preserve"> </w:instrText>
          </w:r>
          <w:r>
            <w:instrText xml:space="preserve">PAGEREF _Toc198652035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14:paraId="228C43B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"_Toc198652036" </w:instrText>
          </w:r>
          <w:r>
            <w:fldChar w:fldCharType="separate"/>
          </w:r>
          <w:r>
            <w:rPr>
              <w:rStyle w:val="22"/>
              <w:rFonts w:hint="eastAsia" w:eastAsia="黑体" w:cs="Times New Roman"/>
              <w:kern w:val="0"/>
            </w:rPr>
            <w:t>3.2.2防洪布局</w:t>
          </w:r>
          <w:r>
            <w:rPr>
              <w:rFonts w:hint="eastAsia"/>
            </w:rPr>
            <w:tab/>
          </w:r>
          <w:r>
            <w:rPr>
              <w:rFonts w:hint="eastAsia"/>
            </w:rPr>
            <w:fldChar w:fldCharType="begin"/>
          </w:r>
          <w:r>
            <w:rPr>
              <w:rFonts w:hint="eastAsia"/>
            </w:rPr>
            <w:instrText xml:space="preserve"> </w:instrText>
          </w:r>
          <w:r>
            <w:instrText xml:space="preserve">PAGEREF _Toc198652036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14:paraId="7A0EB525">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"_Toc198652037" </w:instrText>
          </w:r>
          <w:r>
            <w:fldChar w:fldCharType="separate"/>
          </w:r>
          <w:r>
            <w:rPr>
              <w:rStyle w:val="22"/>
              <w:rFonts w:hint="eastAsia" w:eastAsia="黑体" w:cs="Times New Roman"/>
              <w:kern w:val="0"/>
            </w:rPr>
            <w:t>3.3加强城市（乡镇）防洪排涝建设</w:t>
          </w:r>
          <w:r>
            <w:rPr>
              <w:rFonts w:hint="eastAsia"/>
            </w:rPr>
            <w:tab/>
          </w:r>
          <w:r>
            <w:rPr>
              <w:rFonts w:hint="eastAsia"/>
            </w:rPr>
            <w:fldChar w:fldCharType="begin"/>
          </w:r>
          <w:r>
            <w:rPr>
              <w:rFonts w:hint="eastAsia"/>
            </w:rPr>
            <w:instrText xml:space="preserve"> </w:instrText>
          </w:r>
          <w:r>
            <w:instrText xml:space="preserve">PAGEREF _Toc198652037 \h</w:instrText>
          </w:r>
          <w:r>
            <w:rPr>
              <w:rFonts w:hint="eastAsia"/>
            </w:rPr>
            <w:instrText xml:space="preserve"> </w:instrText>
          </w:r>
          <w:r>
            <w:rPr>
              <w:rFonts w:hint="eastAsia"/>
            </w:rPr>
            <w:fldChar w:fldCharType="separate"/>
          </w:r>
          <w:r>
            <w:t>40</w:t>
          </w:r>
          <w:r>
            <w:rPr>
              <w:rFonts w:hint="eastAsia"/>
            </w:rPr>
            <w:fldChar w:fldCharType="end"/>
          </w:r>
          <w:r>
            <w:rPr>
              <w:rFonts w:hint="eastAsia"/>
            </w:rPr>
            <w:fldChar w:fldCharType="end"/>
          </w:r>
        </w:p>
        <w:p w14:paraId="214849B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"_Toc198652038" </w:instrText>
          </w:r>
          <w:r>
            <w:fldChar w:fldCharType="separate"/>
          </w:r>
          <w:r>
            <w:rPr>
              <w:rStyle w:val="22"/>
              <w:rFonts w:hint="eastAsia" w:eastAsia="黑体" w:cs="Times New Roman"/>
              <w:kern w:val="0"/>
            </w:rPr>
            <w:t>3.3.1城镇防洪工程</w:t>
          </w:r>
          <w:r>
            <w:rPr>
              <w:rFonts w:hint="eastAsia"/>
            </w:rPr>
            <w:tab/>
          </w:r>
          <w:r>
            <w:rPr>
              <w:rFonts w:hint="eastAsia"/>
            </w:rPr>
            <w:fldChar w:fldCharType="begin"/>
          </w:r>
          <w:r>
            <w:rPr>
              <w:rFonts w:hint="eastAsia"/>
            </w:rPr>
            <w:instrText xml:space="preserve"> </w:instrText>
          </w:r>
          <w:r>
            <w:instrText xml:space="preserve">PAGEREF _Toc198652038 \h</w:instrText>
          </w:r>
          <w:r>
            <w:rPr>
              <w:rFonts w:hint="eastAsia"/>
            </w:rPr>
            <w:instrText xml:space="preserve"> </w:instrText>
          </w:r>
          <w:r>
            <w:rPr>
              <w:rFonts w:hint="eastAsia"/>
            </w:rPr>
            <w:fldChar w:fldCharType="separate"/>
          </w:r>
          <w:r>
            <w:t>40</w:t>
          </w:r>
          <w:r>
            <w:rPr>
              <w:rFonts w:hint="eastAsia"/>
            </w:rPr>
            <w:fldChar w:fldCharType="end"/>
          </w:r>
          <w:r>
            <w:rPr>
              <w:rFonts w:hint="eastAsia"/>
            </w:rPr>
            <w:fldChar w:fldCharType="end"/>
          </w:r>
        </w:p>
        <w:p w14:paraId="6D410CA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"_Toc198652039" </w:instrText>
          </w:r>
          <w:r>
            <w:fldChar w:fldCharType="separate"/>
          </w:r>
          <w:r>
            <w:rPr>
              <w:rStyle w:val="22"/>
              <w:rFonts w:hint="eastAsia" w:eastAsia="黑体" w:cs="Times New Roman"/>
              <w:kern w:val="0"/>
            </w:rPr>
            <w:t>3.3.2乡村防洪工程</w:t>
          </w:r>
          <w:r>
            <w:rPr>
              <w:rFonts w:hint="eastAsia"/>
            </w:rPr>
            <w:tab/>
          </w:r>
          <w:r>
            <w:rPr>
              <w:rFonts w:hint="eastAsia"/>
            </w:rPr>
            <w:fldChar w:fldCharType="begin"/>
          </w:r>
          <w:r>
            <w:rPr>
              <w:rFonts w:hint="eastAsia"/>
            </w:rPr>
            <w:instrText xml:space="preserve"> </w:instrText>
          </w:r>
          <w:r>
            <w:instrText xml:space="preserve">PAGEREF _Toc198652039 \h</w:instrText>
          </w:r>
          <w:r>
            <w:rPr>
              <w:rFonts w:hint="eastAsia"/>
            </w:rPr>
            <w:instrText xml:space="preserve"> </w:instrText>
          </w:r>
          <w:r>
            <w:rPr>
              <w:rFonts w:hint="eastAsia"/>
            </w:rPr>
            <w:fldChar w:fldCharType="separate"/>
          </w:r>
          <w:r>
            <w:t>41</w:t>
          </w:r>
          <w:r>
            <w:rPr>
              <w:rFonts w:hint="eastAsia"/>
            </w:rPr>
            <w:fldChar w:fldCharType="end"/>
          </w:r>
          <w:r>
            <w:rPr>
              <w:rFonts w:hint="eastAsia"/>
            </w:rPr>
            <w:fldChar w:fldCharType="end"/>
          </w:r>
        </w:p>
        <w:p w14:paraId="738F69B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"_Toc198652040" </w:instrText>
          </w:r>
          <w:r>
            <w:fldChar w:fldCharType="separate"/>
          </w:r>
          <w:r>
            <w:rPr>
              <w:rStyle w:val="22"/>
              <w:rFonts w:hint="eastAsia" w:eastAsia="黑体" w:cs="Times New Roman"/>
              <w:kern w:val="0"/>
            </w:rPr>
            <w:t>3.4防洪非工程措施建议</w:t>
          </w:r>
          <w:r>
            <w:rPr>
              <w:rFonts w:hint="eastAsia"/>
            </w:rPr>
            <w:tab/>
          </w:r>
          <w:r>
            <w:rPr>
              <w:rFonts w:hint="eastAsia"/>
            </w:rPr>
            <w:fldChar w:fldCharType="begin"/>
          </w:r>
          <w:r>
            <w:rPr>
              <w:rFonts w:hint="eastAsia"/>
            </w:rPr>
            <w:instrText xml:space="preserve"> </w:instrText>
          </w:r>
          <w:r>
            <w:instrText xml:space="preserve">PAGEREF _Toc198652040 \h</w:instrText>
          </w:r>
          <w:r>
            <w:rPr>
              <w:rFonts w:hint="eastAsia"/>
            </w:rPr>
            <w:instrText xml:space="preserve"> </w:instrText>
          </w:r>
          <w:r>
            <w:rPr>
              <w:rFonts w:hint="eastAsia"/>
            </w:rPr>
            <w:fldChar w:fldCharType="separate"/>
          </w:r>
          <w:r>
            <w:t>42</w:t>
          </w:r>
          <w:r>
            <w:rPr>
              <w:rFonts w:hint="eastAsia"/>
            </w:rPr>
            <w:fldChar w:fldCharType="end"/>
          </w:r>
          <w:r>
            <w:rPr>
              <w:rFonts w:hint="eastAsia"/>
            </w:rPr>
            <w:fldChar w:fldCharType="end"/>
          </w:r>
        </w:p>
        <w:p w14:paraId="5FD66B10">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"_Toc198652041" </w:instrText>
          </w:r>
          <w:r>
            <w:fldChar w:fldCharType="separate"/>
          </w:r>
          <w:r>
            <w:rPr>
              <w:rStyle w:val="22"/>
              <w:rFonts w:hint="eastAsia" w:eastAsia="黑体" w:cs="Times New Roman"/>
            </w:rPr>
            <w:t>4构建城乡供水网</w:t>
          </w:r>
          <w:r>
            <w:rPr>
              <w:rFonts w:hint="eastAsia"/>
            </w:rPr>
            <w:tab/>
          </w:r>
          <w:r>
            <w:rPr>
              <w:rFonts w:hint="eastAsia"/>
            </w:rPr>
            <w:fldChar w:fldCharType="begin"/>
          </w:r>
          <w:r>
            <w:rPr>
              <w:rFonts w:hint="eastAsia"/>
            </w:rPr>
            <w:instrText xml:space="preserve"> </w:instrText>
          </w:r>
          <w:r>
            <w:instrText xml:space="preserve">PAGEREF _Toc198652041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3FD634D5">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"_Toc198652042" </w:instrText>
          </w:r>
          <w:r>
            <w:fldChar w:fldCharType="separate"/>
          </w:r>
          <w:r>
            <w:rPr>
              <w:rStyle w:val="22"/>
              <w:rFonts w:hint="eastAsia" w:eastAsia="黑体" w:cs="Times New Roman"/>
              <w:kern w:val="0"/>
            </w:rPr>
            <w:t>4.1基本思路与格局</w:t>
          </w:r>
          <w:r>
            <w:rPr>
              <w:rFonts w:hint="eastAsia"/>
            </w:rPr>
            <w:tab/>
          </w:r>
          <w:r>
            <w:rPr>
              <w:rFonts w:hint="eastAsia"/>
            </w:rPr>
            <w:fldChar w:fldCharType="begin"/>
          </w:r>
          <w:r>
            <w:rPr>
              <w:rFonts w:hint="eastAsia"/>
            </w:rPr>
            <w:instrText xml:space="preserve"> </w:instrText>
          </w:r>
          <w:r>
            <w:instrText xml:space="preserve">PAGEREF _Toc198652042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17B5981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"_Toc198652043" </w:instrText>
          </w:r>
          <w:r>
            <w:fldChar w:fldCharType="separate"/>
          </w:r>
          <w:r>
            <w:rPr>
              <w:rStyle w:val="22"/>
              <w:rFonts w:hint="eastAsia" w:eastAsia="黑体" w:cs="Times New Roman"/>
              <w:kern w:val="0"/>
            </w:rPr>
            <w:t>4.2水资源供需分析与空间均衡配置</w:t>
          </w:r>
          <w:r>
            <w:rPr>
              <w:rFonts w:hint="eastAsia"/>
            </w:rPr>
            <w:tab/>
          </w:r>
          <w:r>
            <w:rPr>
              <w:rFonts w:hint="eastAsia"/>
            </w:rPr>
            <w:fldChar w:fldCharType="begin"/>
          </w:r>
          <w:r>
            <w:rPr>
              <w:rFonts w:hint="eastAsia"/>
            </w:rPr>
            <w:instrText xml:space="preserve"> </w:instrText>
          </w:r>
          <w:r>
            <w:instrText xml:space="preserve">PAGEREF _Toc198652043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2C9758A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"_Toc198652044" </w:instrText>
          </w:r>
          <w:r>
            <w:fldChar w:fldCharType="separate"/>
          </w:r>
          <w:r>
            <w:rPr>
              <w:rStyle w:val="22"/>
              <w:rFonts w:hint="eastAsia" w:eastAsia="黑体" w:cs="Times New Roman"/>
              <w:kern w:val="0"/>
            </w:rPr>
            <w:t>4.2.1水资源及其开发利用现状</w:t>
          </w:r>
          <w:r>
            <w:rPr>
              <w:rFonts w:hint="eastAsia"/>
            </w:rPr>
            <w:tab/>
          </w:r>
          <w:r>
            <w:rPr>
              <w:rFonts w:hint="eastAsia"/>
            </w:rPr>
            <w:fldChar w:fldCharType="begin"/>
          </w:r>
          <w:r>
            <w:rPr>
              <w:rFonts w:hint="eastAsia"/>
            </w:rPr>
            <w:instrText xml:space="preserve"> </w:instrText>
          </w:r>
          <w:r>
            <w:instrText xml:space="preserve">PAGEREF _Toc198652044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453008E1">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"_Toc198652045" </w:instrText>
          </w:r>
          <w:r>
            <w:fldChar w:fldCharType="separate"/>
          </w:r>
          <w:r>
            <w:rPr>
              <w:rStyle w:val="22"/>
              <w:rFonts w:hint="eastAsia" w:eastAsia="黑体" w:cs="Times New Roman"/>
              <w:kern w:val="0"/>
            </w:rPr>
            <w:t>4.2.2合理用水需求分析</w:t>
          </w:r>
          <w:r>
            <w:rPr>
              <w:rFonts w:hint="eastAsia"/>
            </w:rPr>
            <w:tab/>
          </w:r>
          <w:r>
            <w:rPr>
              <w:rFonts w:hint="eastAsia"/>
            </w:rPr>
            <w:fldChar w:fldCharType="begin"/>
          </w:r>
          <w:r>
            <w:rPr>
              <w:rFonts w:hint="eastAsia"/>
            </w:rPr>
            <w:instrText xml:space="preserve"> </w:instrText>
          </w:r>
          <w:r>
            <w:instrText xml:space="preserve">PAGEREF _Toc198652045 \h</w:instrText>
          </w:r>
          <w:r>
            <w:rPr>
              <w:rFonts w:hint="eastAsia"/>
            </w:rPr>
            <w:instrText xml:space="preserve"> </w:instrText>
          </w:r>
          <w:r>
            <w:rPr>
              <w:rFonts w:hint="eastAsia"/>
            </w:rPr>
            <w:fldChar w:fldCharType="separate"/>
          </w:r>
          <w:r>
            <w:t>50</w:t>
          </w:r>
          <w:r>
            <w:rPr>
              <w:rFonts w:hint="eastAsia"/>
            </w:rPr>
            <w:fldChar w:fldCharType="end"/>
          </w:r>
          <w:r>
            <w:rPr>
              <w:rFonts w:hint="eastAsia"/>
            </w:rPr>
            <w:fldChar w:fldCharType="end"/>
          </w:r>
        </w:p>
        <w:p w14:paraId="5ED18B4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"_Toc198652046" </w:instrText>
          </w:r>
          <w:r>
            <w:fldChar w:fldCharType="separate"/>
          </w:r>
          <w:r>
            <w:rPr>
              <w:rStyle w:val="22"/>
              <w:rFonts w:hint="eastAsia" w:eastAsia="黑体" w:cs="Times New Roman"/>
              <w:kern w:val="0"/>
            </w:rPr>
            <w:t>4.2.3可供水量分析</w:t>
          </w:r>
          <w:r>
            <w:rPr>
              <w:rFonts w:hint="eastAsia"/>
            </w:rPr>
            <w:tab/>
          </w:r>
          <w:r>
            <w:rPr>
              <w:rFonts w:hint="eastAsia"/>
            </w:rPr>
            <w:fldChar w:fldCharType="begin"/>
          </w:r>
          <w:r>
            <w:rPr>
              <w:rFonts w:hint="eastAsia"/>
            </w:rPr>
            <w:instrText xml:space="preserve"> </w:instrText>
          </w:r>
          <w:r>
            <w:instrText xml:space="preserve">PAGEREF _Toc198652046 \h</w:instrText>
          </w:r>
          <w:r>
            <w:rPr>
              <w:rFonts w:hint="eastAsia"/>
            </w:rPr>
            <w:instrText xml:space="preserve"> </w:instrText>
          </w:r>
          <w:r>
            <w:rPr>
              <w:rFonts w:hint="eastAsia"/>
            </w:rPr>
            <w:fldChar w:fldCharType="separate"/>
          </w:r>
          <w:r>
            <w:t>56</w:t>
          </w:r>
          <w:r>
            <w:rPr>
              <w:rFonts w:hint="eastAsia"/>
            </w:rPr>
            <w:fldChar w:fldCharType="end"/>
          </w:r>
          <w:r>
            <w:rPr>
              <w:rFonts w:hint="eastAsia"/>
            </w:rPr>
            <w:fldChar w:fldCharType="end"/>
          </w:r>
        </w:p>
        <w:p w14:paraId="27D855E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"_Toc198652047" </w:instrText>
          </w:r>
          <w:r>
            <w:fldChar w:fldCharType="separate"/>
          </w:r>
          <w:r>
            <w:rPr>
              <w:rStyle w:val="22"/>
              <w:rFonts w:hint="eastAsia" w:eastAsia="黑体" w:cs="Times New Roman"/>
              <w:kern w:val="0"/>
            </w:rPr>
            <w:t>4.2.4水资源供需平衡分析</w:t>
          </w:r>
          <w:r>
            <w:rPr>
              <w:rFonts w:hint="eastAsia"/>
            </w:rPr>
            <w:tab/>
          </w:r>
          <w:r>
            <w:rPr>
              <w:rFonts w:hint="eastAsia"/>
            </w:rPr>
            <w:fldChar w:fldCharType="begin"/>
          </w:r>
          <w:r>
            <w:rPr>
              <w:rFonts w:hint="eastAsia"/>
            </w:rPr>
            <w:instrText xml:space="preserve"> </w:instrText>
          </w:r>
          <w:r>
            <w:instrText xml:space="preserve">PAGEREF _Toc198652047 \h</w:instrText>
          </w:r>
          <w:r>
            <w:rPr>
              <w:rFonts w:hint="eastAsia"/>
            </w:rPr>
            <w:instrText xml:space="preserve"> </w:instrText>
          </w:r>
          <w:r>
            <w:rPr>
              <w:rFonts w:hint="eastAsia"/>
            </w:rPr>
            <w:fldChar w:fldCharType="separate"/>
          </w:r>
          <w:r>
            <w:t>59</w:t>
          </w:r>
          <w:r>
            <w:rPr>
              <w:rFonts w:hint="eastAsia"/>
            </w:rPr>
            <w:fldChar w:fldCharType="end"/>
          </w:r>
          <w:r>
            <w:rPr>
              <w:rFonts w:hint="eastAsia"/>
            </w:rPr>
            <w:fldChar w:fldCharType="end"/>
          </w:r>
        </w:p>
        <w:p w14:paraId="3164E44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"_Toc198652048" </w:instrText>
          </w:r>
          <w:r>
            <w:fldChar w:fldCharType="separate"/>
          </w:r>
          <w:r>
            <w:rPr>
              <w:rStyle w:val="22"/>
              <w:rFonts w:hint="eastAsia" w:eastAsia="黑体" w:cs="Times New Roman"/>
              <w:kern w:val="0"/>
            </w:rPr>
            <w:t>4.2.5水资源空间均衡配置</w:t>
          </w:r>
          <w:r>
            <w:rPr>
              <w:rFonts w:hint="eastAsia"/>
            </w:rPr>
            <w:tab/>
          </w:r>
          <w:r>
            <w:rPr>
              <w:rFonts w:hint="eastAsia"/>
            </w:rPr>
            <w:fldChar w:fldCharType="begin"/>
          </w:r>
          <w:r>
            <w:rPr>
              <w:rFonts w:hint="eastAsia"/>
            </w:rPr>
            <w:instrText xml:space="preserve"> </w:instrText>
          </w:r>
          <w:r>
            <w:instrText xml:space="preserve">PAGEREF _Toc198652048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06962B5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"_Toc198652049" </w:instrText>
          </w:r>
          <w:r>
            <w:fldChar w:fldCharType="separate"/>
          </w:r>
          <w:r>
            <w:rPr>
              <w:rStyle w:val="22"/>
              <w:rFonts w:hint="eastAsia" w:eastAsia="黑体" w:cs="Times New Roman"/>
              <w:kern w:val="0"/>
            </w:rPr>
            <w:t>4.3水资源优化配置</w:t>
          </w:r>
          <w:r>
            <w:rPr>
              <w:rFonts w:hint="eastAsia"/>
            </w:rPr>
            <w:tab/>
          </w:r>
          <w:r>
            <w:rPr>
              <w:rFonts w:hint="eastAsia"/>
            </w:rPr>
            <w:fldChar w:fldCharType="begin"/>
          </w:r>
          <w:r>
            <w:rPr>
              <w:rFonts w:hint="eastAsia"/>
            </w:rPr>
            <w:instrText xml:space="preserve"> </w:instrText>
          </w:r>
          <w:r>
            <w:instrText xml:space="preserve">PAGEREF _Toc198652049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4A09A79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"_Toc198652050" </w:instrText>
          </w:r>
          <w:r>
            <w:fldChar w:fldCharType="separate"/>
          </w:r>
          <w:r>
            <w:rPr>
              <w:rStyle w:val="22"/>
              <w:rFonts w:hint="eastAsia" w:eastAsia="黑体" w:cs="Times New Roman"/>
              <w:kern w:val="0"/>
            </w:rPr>
            <w:t>4.3.1配置思路</w:t>
          </w:r>
          <w:r>
            <w:rPr>
              <w:rFonts w:hint="eastAsia"/>
            </w:rPr>
            <w:tab/>
          </w:r>
          <w:r>
            <w:rPr>
              <w:rFonts w:hint="eastAsia"/>
            </w:rPr>
            <w:fldChar w:fldCharType="begin"/>
          </w:r>
          <w:r>
            <w:rPr>
              <w:rFonts w:hint="eastAsia"/>
            </w:rPr>
            <w:instrText xml:space="preserve"> </w:instrText>
          </w:r>
          <w:r>
            <w:instrText xml:space="preserve">PAGEREF _Toc198652050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6F6FE0F0">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"_Toc198652051" </w:instrText>
          </w:r>
          <w:r>
            <w:fldChar w:fldCharType="separate"/>
          </w:r>
          <w:r>
            <w:rPr>
              <w:rStyle w:val="22"/>
              <w:rFonts w:hint="eastAsia" w:eastAsia="黑体" w:cs="Times New Roman"/>
              <w:kern w:val="0"/>
            </w:rPr>
            <w:t>4.3.2配置方案</w:t>
          </w:r>
          <w:r>
            <w:rPr>
              <w:rFonts w:hint="eastAsia"/>
            </w:rPr>
            <w:tab/>
          </w:r>
          <w:r>
            <w:rPr>
              <w:rFonts w:hint="eastAsia"/>
            </w:rPr>
            <w:fldChar w:fldCharType="begin"/>
          </w:r>
          <w:r>
            <w:rPr>
              <w:rFonts w:hint="eastAsia"/>
            </w:rPr>
            <w:instrText xml:space="preserve"> </w:instrText>
          </w:r>
          <w:r>
            <w:instrText xml:space="preserve">PAGEREF _Toc198652051 \h</w:instrText>
          </w:r>
          <w:r>
            <w:rPr>
              <w:rFonts w:hint="eastAsia"/>
            </w:rPr>
            <w:instrText xml:space="preserve"> </w:instrText>
          </w:r>
          <w:r>
            <w:rPr>
              <w:rFonts w:hint="eastAsia"/>
            </w:rPr>
            <w:fldChar w:fldCharType="separate"/>
          </w:r>
          <w:r>
            <w:t>62</w:t>
          </w:r>
          <w:r>
            <w:rPr>
              <w:rFonts w:hint="eastAsia"/>
            </w:rPr>
            <w:fldChar w:fldCharType="end"/>
          </w:r>
          <w:r>
            <w:rPr>
              <w:rFonts w:hint="eastAsia"/>
            </w:rPr>
            <w:fldChar w:fldCharType="end"/>
          </w:r>
        </w:p>
        <w:p w14:paraId="32154C2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"_Toc198652052" </w:instrText>
          </w:r>
          <w:r>
            <w:fldChar w:fldCharType="separate"/>
          </w:r>
          <w:r>
            <w:rPr>
              <w:rStyle w:val="22"/>
              <w:rFonts w:hint="eastAsia" w:eastAsia="黑体" w:cs="Times New Roman"/>
              <w:kern w:val="0"/>
            </w:rPr>
            <w:t>4.4水资源总体调配格局与工程建设</w:t>
          </w:r>
          <w:r>
            <w:rPr>
              <w:rFonts w:hint="eastAsia"/>
            </w:rPr>
            <w:tab/>
          </w:r>
          <w:r>
            <w:rPr>
              <w:rFonts w:hint="eastAsia"/>
            </w:rPr>
            <w:fldChar w:fldCharType="begin"/>
          </w:r>
          <w:r>
            <w:rPr>
              <w:rFonts w:hint="eastAsia"/>
            </w:rPr>
            <w:instrText xml:space="preserve"> </w:instrText>
          </w:r>
          <w:r>
            <w:instrText xml:space="preserve">PAGEREF _Toc198652052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76173C7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"_Toc198652053" </w:instrText>
          </w:r>
          <w:r>
            <w:fldChar w:fldCharType="separate"/>
          </w:r>
          <w:r>
            <w:rPr>
              <w:rStyle w:val="22"/>
              <w:rFonts w:hint="eastAsia" w:eastAsia="黑体" w:cs="Times New Roman"/>
              <w:kern w:val="0"/>
            </w:rPr>
            <w:t>4.4.1总体调配格局</w:t>
          </w:r>
          <w:r>
            <w:rPr>
              <w:rFonts w:hint="eastAsia"/>
            </w:rPr>
            <w:tab/>
          </w:r>
          <w:r>
            <w:rPr>
              <w:rFonts w:hint="eastAsia"/>
            </w:rPr>
            <w:fldChar w:fldCharType="begin"/>
          </w:r>
          <w:r>
            <w:rPr>
              <w:rFonts w:hint="eastAsia"/>
            </w:rPr>
            <w:instrText xml:space="preserve"> </w:instrText>
          </w:r>
          <w:r>
            <w:instrText xml:space="preserve">PAGEREF _Toc198652053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7477D2A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"_Toc198652054" </w:instrText>
          </w:r>
          <w:r>
            <w:fldChar w:fldCharType="separate"/>
          </w:r>
          <w:r>
            <w:rPr>
              <w:rStyle w:val="22"/>
              <w:rFonts w:hint="eastAsia" w:eastAsia="黑体" w:cs="Times New Roman"/>
              <w:kern w:val="0"/>
            </w:rPr>
            <w:t>4.4.2区域调配格局</w:t>
          </w:r>
          <w:r>
            <w:rPr>
              <w:rFonts w:hint="eastAsia"/>
            </w:rPr>
            <w:tab/>
          </w:r>
          <w:r>
            <w:rPr>
              <w:rFonts w:hint="eastAsia"/>
            </w:rPr>
            <w:fldChar w:fldCharType="begin"/>
          </w:r>
          <w:r>
            <w:rPr>
              <w:rFonts w:hint="eastAsia"/>
            </w:rPr>
            <w:instrText xml:space="preserve"> </w:instrText>
          </w:r>
          <w:r>
            <w:instrText xml:space="preserve">PAGEREF _Toc198652054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33D97C0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"_Toc198652055" </w:instrText>
          </w:r>
          <w:r>
            <w:fldChar w:fldCharType="separate"/>
          </w:r>
          <w:r>
            <w:rPr>
              <w:rStyle w:val="22"/>
              <w:rFonts w:hint="eastAsia" w:eastAsia="黑体" w:cs="Times New Roman"/>
              <w:kern w:val="0"/>
            </w:rPr>
            <w:t>4.4.3水资源调配工程</w:t>
          </w:r>
          <w:r>
            <w:rPr>
              <w:rFonts w:hint="eastAsia"/>
            </w:rPr>
            <w:tab/>
          </w:r>
          <w:r>
            <w:rPr>
              <w:rFonts w:hint="eastAsia"/>
            </w:rPr>
            <w:fldChar w:fldCharType="begin"/>
          </w:r>
          <w:r>
            <w:rPr>
              <w:rFonts w:hint="eastAsia"/>
            </w:rPr>
            <w:instrText xml:space="preserve"> </w:instrText>
          </w:r>
          <w:r>
            <w:instrText xml:space="preserve">PAGEREF _Toc198652055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3978024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"_Toc198652056" </w:instrText>
          </w:r>
          <w:r>
            <w:fldChar w:fldCharType="separate"/>
          </w:r>
          <w:r>
            <w:rPr>
              <w:rStyle w:val="22"/>
              <w:rFonts w:hint="eastAsia" w:eastAsia="黑体" w:cs="Times New Roman"/>
              <w:kern w:val="0"/>
            </w:rPr>
            <w:t>4.5城乡供水高质量发展</w:t>
          </w:r>
          <w:r>
            <w:rPr>
              <w:rFonts w:hint="eastAsia"/>
            </w:rPr>
            <w:tab/>
          </w:r>
          <w:r>
            <w:rPr>
              <w:rFonts w:hint="eastAsia"/>
            </w:rPr>
            <w:fldChar w:fldCharType="begin"/>
          </w:r>
          <w:r>
            <w:rPr>
              <w:rFonts w:hint="eastAsia"/>
            </w:rPr>
            <w:instrText xml:space="preserve"> </w:instrText>
          </w:r>
          <w:r>
            <w:instrText xml:space="preserve">PAGEREF _Toc198652056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4BFBCFD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"_Toc198652057" </w:instrText>
          </w:r>
          <w:r>
            <w:fldChar w:fldCharType="separate"/>
          </w:r>
          <w:r>
            <w:rPr>
              <w:rStyle w:val="22"/>
              <w:rFonts w:hint="eastAsia" w:eastAsia="黑体" w:cs="Times New Roman"/>
              <w:kern w:val="0"/>
            </w:rPr>
            <w:t>4.5.1城市供水保障体系</w:t>
          </w:r>
          <w:r>
            <w:rPr>
              <w:rFonts w:hint="eastAsia"/>
            </w:rPr>
            <w:tab/>
          </w:r>
          <w:r>
            <w:rPr>
              <w:rFonts w:hint="eastAsia"/>
            </w:rPr>
            <w:fldChar w:fldCharType="begin"/>
          </w:r>
          <w:r>
            <w:rPr>
              <w:rFonts w:hint="eastAsia"/>
            </w:rPr>
            <w:instrText xml:space="preserve"> </w:instrText>
          </w:r>
          <w:r>
            <w:instrText xml:space="preserve">PAGEREF _Toc198652057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1661E6A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"_Toc198652058" </w:instrText>
          </w:r>
          <w:r>
            <w:fldChar w:fldCharType="separate"/>
          </w:r>
          <w:r>
            <w:rPr>
              <w:rStyle w:val="22"/>
              <w:rFonts w:hint="eastAsia" w:eastAsia="黑体" w:cs="Times New Roman"/>
              <w:kern w:val="0"/>
            </w:rPr>
            <w:t>4.5.2农村供水保障体系</w:t>
          </w:r>
          <w:r>
            <w:rPr>
              <w:rFonts w:hint="eastAsia"/>
            </w:rPr>
            <w:tab/>
          </w:r>
          <w:r>
            <w:rPr>
              <w:rFonts w:hint="eastAsia"/>
            </w:rPr>
            <w:fldChar w:fldCharType="begin"/>
          </w:r>
          <w:r>
            <w:rPr>
              <w:rFonts w:hint="eastAsia"/>
            </w:rPr>
            <w:instrText xml:space="preserve"> </w:instrText>
          </w:r>
          <w:r>
            <w:instrText xml:space="preserve">PAGEREF _Toc198652058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44D9F28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"_Toc198652059" </w:instrText>
          </w:r>
          <w:r>
            <w:fldChar w:fldCharType="separate"/>
          </w:r>
          <w:r>
            <w:rPr>
              <w:rStyle w:val="22"/>
              <w:rFonts w:hint="eastAsia" w:eastAsia="黑体" w:cs="Times New Roman"/>
              <w:kern w:val="0"/>
            </w:rPr>
            <w:t>4.6完善深度节水控水体系</w:t>
          </w:r>
          <w:r>
            <w:rPr>
              <w:rFonts w:hint="eastAsia"/>
            </w:rPr>
            <w:tab/>
          </w:r>
          <w:r>
            <w:rPr>
              <w:rFonts w:hint="eastAsia"/>
            </w:rPr>
            <w:fldChar w:fldCharType="begin"/>
          </w:r>
          <w:r>
            <w:rPr>
              <w:rFonts w:hint="eastAsia"/>
            </w:rPr>
            <w:instrText xml:space="preserve"> </w:instrText>
          </w:r>
          <w:r>
            <w:instrText xml:space="preserve">PAGEREF _Toc198652059 \h</w:instrText>
          </w:r>
          <w:r>
            <w:rPr>
              <w:rFonts w:hint="eastAsia"/>
            </w:rPr>
            <w:instrText xml:space="preserve"> </w:instrText>
          </w:r>
          <w:r>
            <w:rPr>
              <w:rFonts w:hint="eastAsia"/>
            </w:rPr>
            <w:fldChar w:fldCharType="separate"/>
          </w:r>
          <w:r>
            <w:t>68</w:t>
          </w:r>
          <w:r>
            <w:rPr>
              <w:rFonts w:hint="eastAsia"/>
            </w:rPr>
            <w:fldChar w:fldCharType="end"/>
          </w:r>
          <w:r>
            <w:rPr>
              <w:rFonts w:hint="eastAsia"/>
            </w:rPr>
            <w:fldChar w:fldCharType="end"/>
          </w:r>
        </w:p>
        <w:p w14:paraId="7838F8EE">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"_Toc198652060" </w:instrText>
          </w:r>
          <w:r>
            <w:fldChar w:fldCharType="separate"/>
          </w:r>
          <w:r>
            <w:rPr>
              <w:rStyle w:val="22"/>
              <w:rFonts w:hint="eastAsia" w:eastAsia="黑体" w:cs="Times New Roman"/>
              <w:kern w:val="0"/>
            </w:rPr>
            <w:t>4.6.1基本思路</w:t>
          </w:r>
          <w:r>
            <w:rPr>
              <w:rFonts w:hint="eastAsia"/>
            </w:rPr>
            <w:tab/>
          </w:r>
          <w:r>
            <w:rPr>
              <w:rFonts w:hint="eastAsia"/>
            </w:rPr>
            <w:fldChar w:fldCharType="begin"/>
          </w:r>
          <w:r>
            <w:rPr>
              <w:rFonts w:hint="eastAsia"/>
            </w:rPr>
            <w:instrText xml:space="preserve"> </w:instrText>
          </w:r>
          <w:r>
            <w:instrText xml:space="preserve">PAGEREF _Toc198652060 \h</w:instrText>
          </w:r>
          <w:r>
            <w:rPr>
              <w:rFonts w:hint="eastAsia"/>
            </w:rPr>
            <w:instrText xml:space="preserve"> </w:instrText>
          </w:r>
          <w:r>
            <w:rPr>
              <w:rFonts w:hint="eastAsia"/>
            </w:rPr>
            <w:fldChar w:fldCharType="separate"/>
          </w:r>
          <w:r>
            <w:t>68</w:t>
          </w:r>
          <w:r>
            <w:rPr>
              <w:rFonts w:hint="eastAsia"/>
            </w:rPr>
            <w:fldChar w:fldCharType="end"/>
          </w:r>
          <w:r>
            <w:rPr>
              <w:rFonts w:hint="eastAsia"/>
            </w:rPr>
            <w:fldChar w:fldCharType="end"/>
          </w:r>
        </w:p>
        <w:p w14:paraId="3CB2B9E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"_Toc198652061" </w:instrText>
          </w:r>
          <w:r>
            <w:fldChar w:fldCharType="separate"/>
          </w:r>
          <w:r>
            <w:rPr>
              <w:rStyle w:val="22"/>
              <w:rFonts w:hint="eastAsia" w:eastAsia="黑体" w:cs="Times New Roman"/>
              <w:kern w:val="0"/>
            </w:rPr>
            <w:t>4.6.2节水定位与目标</w:t>
          </w:r>
          <w:r>
            <w:rPr>
              <w:rFonts w:hint="eastAsia"/>
            </w:rPr>
            <w:tab/>
          </w:r>
          <w:r>
            <w:rPr>
              <w:rFonts w:hint="eastAsia"/>
            </w:rPr>
            <w:fldChar w:fldCharType="begin"/>
          </w:r>
          <w:r>
            <w:rPr>
              <w:rFonts w:hint="eastAsia"/>
            </w:rPr>
            <w:instrText xml:space="preserve"> </w:instrText>
          </w:r>
          <w:r>
            <w:instrText xml:space="preserve">PAGEREF _Toc198652061 \h</w:instrText>
          </w:r>
          <w:r>
            <w:rPr>
              <w:rFonts w:hint="eastAsia"/>
            </w:rPr>
            <w:instrText xml:space="preserve"> </w:instrText>
          </w:r>
          <w:r>
            <w:rPr>
              <w:rFonts w:hint="eastAsia"/>
            </w:rPr>
            <w:fldChar w:fldCharType="separate"/>
          </w:r>
          <w:r>
            <w:t>68</w:t>
          </w:r>
          <w:r>
            <w:rPr>
              <w:rFonts w:hint="eastAsia"/>
            </w:rPr>
            <w:fldChar w:fldCharType="end"/>
          </w:r>
          <w:r>
            <w:rPr>
              <w:rFonts w:hint="eastAsia"/>
            </w:rPr>
            <w:fldChar w:fldCharType="end"/>
          </w:r>
        </w:p>
        <w:p w14:paraId="2F9274B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"_Toc198652062" </w:instrText>
          </w:r>
          <w:r>
            <w:fldChar w:fldCharType="separate"/>
          </w:r>
          <w:r>
            <w:rPr>
              <w:rStyle w:val="22"/>
              <w:rFonts w:hint="eastAsia" w:eastAsia="黑体" w:cs="Times New Roman"/>
              <w:kern w:val="0"/>
            </w:rPr>
            <w:t>4.6.3节水潜力分析</w:t>
          </w:r>
          <w:r>
            <w:rPr>
              <w:rFonts w:hint="eastAsia"/>
            </w:rPr>
            <w:tab/>
          </w:r>
          <w:r>
            <w:rPr>
              <w:rFonts w:hint="eastAsia"/>
            </w:rPr>
            <w:fldChar w:fldCharType="begin"/>
          </w:r>
          <w:r>
            <w:rPr>
              <w:rFonts w:hint="eastAsia"/>
            </w:rPr>
            <w:instrText xml:space="preserve"> </w:instrText>
          </w:r>
          <w:r>
            <w:instrText xml:space="preserve">PAGEREF _Toc198652062 \h</w:instrText>
          </w:r>
          <w:r>
            <w:rPr>
              <w:rFonts w:hint="eastAsia"/>
            </w:rPr>
            <w:instrText xml:space="preserve"> </w:instrText>
          </w:r>
          <w:r>
            <w:rPr>
              <w:rFonts w:hint="eastAsia"/>
            </w:rPr>
            <w:fldChar w:fldCharType="separate"/>
          </w:r>
          <w:r>
            <w:t>69</w:t>
          </w:r>
          <w:r>
            <w:rPr>
              <w:rFonts w:hint="eastAsia"/>
            </w:rPr>
            <w:fldChar w:fldCharType="end"/>
          </w:r>
          <w:r>
            <w:rPr>
              <w:rFonts w:hint="eastAsia"/>
            </w:rPr>
            <w:fldChar w:fldCharType="end"/>
          </w:r>
        </w:p>
        <w:p w14:paraId="209440E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"_Toc198652063" </w:instrText>
          </w:r>
          <w:r>
            <w:fldChar w:fldCharType="separate"/>
          </w:r>
          <w:r>
            <w:rPr>
              <w:rStyle w:val="22"/>
              <w:rFonts w:hint="eastAsia" w:eastAsia="黑体" w:cs="Times New Roman"/>
              <w:kern w:val="0"/>
            </w:rPr>
            <w:t>4.6.4节水措施方案</w:t>
          </w:r>
          <w:r>
            <w:rPr>
              <w:rFonts w:hint="eastAsia"/>
            </w:rPr>
            <w:tab/>
          </w:r>
          <w:r>
            <w:rPr>
              <w:rFonts w:hint="eastAsia"/>
            </w:rPr>
            <w:fldChar w:fldCharType="begin"/>
          </w:r>
          <w:r>
            <w:rPr>
              <w:rFonts w:hint="eastAsia"/>
            </w:rPr>
            <w:instrText xml:space="preserve"> </w:instrText>
          </w:r>
          <w:r>
            <w:instrText xml:space="preserve">PAGEREF _Toc198652063 \h</w:instrText>
          </w:r>
          <w:r>
            <w:rPr>
              <w:rFonts w:hint="eastAsia"/>
            </w:rPr>
            <w:instrText xml:space="preserve"> </w:instrText>
          </w:r>
          <w:r>
            <w:rPr>
              <w:rFonts w:hint="eastAsia"/>
            </w:rPr>
            <w:fldChar w:fldCharType="separate"/>
          </w:r>
          <w:r>
            <w:t>72</w:t>
          </w:r>
          <w:r>
            <w:rPr>
              <w:rFonts w:hint="eastAsia"/>
            </w:rPr>
            <w:fldChar w:fldCharType="end"/>
          </w:r>
          <w:r>
            <w:rPr>
              <w:rFonts w:hint="eastAsia"/>
            </w:rPr>
            <w:fldChar w:fldCharType="end"/>
          </w:r>
        </w:p>
        <w:p w14:paraId="728A04FA">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"_Toc198652064" </w:instrText>
          </w:r>
          <w:r>
            <w:fldChar w:fldCharType="separate"/>
          </w:r>
          <w:r>
            <w:rPr>
              <w:rStyle w:val="22"/>
              <w:rFonts w:hint="eastAsia" w:eastAsia="黑体" w:cs="Times New Roman"/>
              <w:kern w:val="0"/>
            </w:rPr>
            <w:t>4.6.5节水控水体系建设</w:t>
          </w:r>
          <w:r>
            <w:rPr>
              <w:rFonts w:hint="eastAsia"/>
            </w:rPr>
            <w:tab/>
          </w:r>
          <w:r>
            <w:rPr>
              <w:rFonts w:hint="eastAsia"/>
            </w:rPr>
            <w:fldChar w:fldCharType="begin"/>
          </w:r>
          <w:r>
            <w:rPr>
              <w:rFonts w:hint="eastAsia"/>
            </w:rPr>
            <w:instrText xml:space="preserve"> </w:instrText>
          </w:r>
          <w:r>
            <w:instrText xml:space="preserve">PAGEREF _Toc198652064 \h</w:instrText>
          </w:r>
          <w:r>
            <w:rPr>
              <w:rFonts w:hint="eastAsia"/>
            </w:rPr>
            <w:instrText xml:space="preserve"> </w:instrText>
          </w:r>
          <w:r>
            <w:rPr>
              <w:rFonts w:hint="eastAsia"/>
            </w:rPr>
            <w:fldChar w:fldCharType="separate"/>
          </w:r>
          <w:r>
            <w:t>78</w:t>
          </w:r>
          <w:r>
            <w:rPr>
              <w:rFonts w:hint="eastAsia"/>
            </w:rPr>
            <w:fldChar w:fldCharType="end"/>
          </w:r>
          <w:r>
            <w:rPr>
              <w:rFonts w:hint="eastAsia"/>
            </w:rPr>
            <w:fldChar w:fldCharType="end"/>
          </w:r>
        </w:p>
        <w:p w14:paraId="33EDD3B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"_Toc198652065" </w:instrText>
          </w:r>
          <w:r>
            <w:fldChar w:fldCharType="separate"/>
          </w:r>
          <w:r>
            <w:rPr>
              <w:rStyle w:val="22"/>
              <w:rFonts w:hint="eastAsia" w:eastAsia="黑体" w:cs="Times New Roman"/>
              <w:kern w:val="0"/>
            </w:rPr>
            <w:t>4.7灌溉供水保障体系建设</w:t>
          </w:r>
          <w:r>
            <w:rPr>
              <w:rFonts w:hint="eastAsia"/>
            </w:rPr>
            <w:tab/>
          </w:r>
          <w:r>
            <w:rPr>
              <w:rFonts w:hint="eastAsia"/>
            </w:rPr>
            <w:fldChar w:fldCharType="begin"/>
          </w:r>
          <w:r>
            <w:rPr>
              <w:rFonts w:hint="eastAsia"/>
            </w:rPr>
            <w:instrText xml:space="preserve"> </w:instrText>
          </w:r>
          <w:r>
            <w:instrText xml:space="preserve">PAGEREF _Toc198652065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14:paraId="45E01F1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"_Toc198652066" </w:instrText>
          </w:r>
          <w:r>
            <w:fldChar w:fldCharType="separate"/>
          </w:r>
          <w:r>
            <w:rPr>
              <w:rStyle w:val="22"/>
              <w:rFonts w:hint="eastAsia" w:eastAsia="黑体" w:cs="Times New Roman"/>
              <w:kern w:val="0"/>
            </w:rPr>
            <w:t>4.8生态供水保障体系建设</w:t>
          </w:r>
          <w:r>
            <w:rPr>
              <w:rFonts w:hint="eastAsia"/>
            </w:rPr>
            <w:tab/>
          </w:r>
          <w:r>
            <w:rPr>
              <w:rFonts w:hint="eastAsia"/>
            </w:rPr>
            <w:fldChar w:fldCharType="begin"/>
          </w:r>
          <w:r>
            <w:rPr>
              <w:rFonts w:hint="eastAsia"/>
            </w:rPr>
            <w:instrText xml:space="preserve"> </w:instrText>
          </w:r>
          <w:r>
            <w:instrText xml:space="preserve">PAGEREF _Toc198652066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14:paraId="4214DE97">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"_Toc198652067" </w:instrText>
          </w:r>
          <w:r>
            <w:fldChar w:fldCharType="separate"/>
          </w:r>
          <w:r>
            <w:rPr>
              <w:rStyle w:val="22"/>
              <w:rFonts w:hint="eastAsia" w:eastAsia="黑体" w:cs="Times New Roman"/>
            </w:rPr>
            <w:t>5构建灌溉排水网</w:t>
          </w:r>
          <w:r>
            <w:rPr>
              <w:rFonts w:hint="eastAsia"/>
            </w:rPr>
            <w:tab/>
          </w:r>
          <w:r>
            <w:rPr>
              <w:rFonts w:hint="eastAsia"/>
            </w:rPr>
            <w:fldChar w:fldCharType="begin"/>
          </w:r>
          <w:r>
            <w:rPr>
              <w:rFonts w:hint="eastAsia"/>
            </w:rPr>
            <w:instrText xml:space="preserve"> </w:instrText>
          </w:r>
          <w:r>
            <w:instrText xml:space="preserve">PAGEREF _Toc198652067 \h</w:instrText>
          </w:r>
          <w:r>
            <w:rPr>
              <w:rFonts w:hint="eastAsia"/>
            </w:rPr>
            <w:instrText xml:space="preserve"> </w:instrText>
          </w:r>
          <w:r>
            <w:rPr>
              <w:rFonts w:hint="eastAsia"/>
            </w:rPr>
            <w:fldChar w:fldCharType="separate"/>
          </w:r>
          <w:r>
            <w:t>81</w:t>
          </w:r>
          <w:r>
            <w:rPr>
              <w:rFonts w:hint="eastAsia"/>
            </w:rPr>
            <w:fldChar w:fldCharType="end"/>
          </w:r>
          <w:r>
            <w:rPr>
              <w:rFonts w:hint="eastAsia"/>
            </w:rPr>
            <w:fldChar w:fldCharType="end"/>
          </w:r>
        </w:p>
        <w:p w14:paraId="35AC13A8">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"_Toc198652068" </w:instrText>
          </w:r>
          <w:r>
            <w:fldChar w:fldCharType="separate"/>
          </w:r>
          <w:r>
            <w:rPr>
              <w:rStyle w:val="22"/>
              <w:rFonts w:hint="eastAsia" w:eastAsia="黑体" w:cs="Times New Roman"/>
              <w:kern w:val="0"/>
            </w:rPr>
            <w:t>5.1建设思路</w:t>
          </w:r>
          <w:r>
            <w:rPr>
              <w:rFonts w:hint="eastAsia"/>
            </w:rPr>
            <w:tab/>
          </w:r>
          <w:r>
            <w:rPr>
              <w:rFonts w:hint="eastAsia"/>
            </w:rPr>
            <w:fldChar w:fldCharType="begin"/>
          </w:r>
          <w:r>
            <w:rPr>
              <w:rFonts w:hint="eastAsia"/>
            </w:rPr>
            <w:instrText xml:space="preserve"> </w:instrText>
          </w:r>
          <w:r>
            <w:instrText xml:space="preserve">PAGEREF _Toc198652068 \h</w:instrText>
          </w:r>
          <w:r>
            <w:rPr>
              <w:rFonts w:hint="eastAsia"/>
            </w:rPr>
            <w:instrText xml:space="preserve"> </w:instrText>
          </w:r>
          <w:r>
            <w:rPr>
              <w:rFonts w:hint="eastAsia"/>
            </w:rPr>
            <w:fldChar w:fldCharType="separate"/>
          </w:r>
          <w:r>
            <w:t>81</w:t>
          </w:r>
          <w:r>
            <w:rPr>
              <w:rFonts w:hint="eastAsia"/>
            </w:rPr>
            <w:fldChar w:fldCharType="end"/>
          </w:r>
          <w:r>
            <w:rPr>
              <w:rFonts w:hint="eastAsia"/>
            </w:rPr>
            <w:fldChar w:fldCharType="end"/>
          </w:r>
        </w:p>
        <w:p w14:paraId="257AF4D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"_Toc198652069" </w:instrText>
          </w:r>
          <w:r>
            <w:fldChar w:fldCharType="separate"/>
          </w:r>
          <w:r>
            <w:rPr>
              <w:rStyle w:val="22"/>
              <w:rFonts w:hint="eastAsia" w:eastAsia="黑体" w:cs="Times New Roman"/>
              <w:kern w:val="0"/>
            </w:rPr>
            <w:t>5.2灌溉水源工程现状建设情况</w:t>
          </w:r>
          <w:r>
            <w:rPr>
              <w:rFonts w:hint="eastAsia"/>
            </w:rPr>
            <w:tab/>
          </w:r>
          <w:r>
            <w:rPr>
              <w:rFonts w:hint="eastAsia"/>
            </w:rPr>
            <w:fldChar w:fldCharType="begin"/>
          </w:r>
          <w:r>
            <w:rPr>
              <w:rFonts w:hint="eastAsia"/>
            </w:rPr>
            <w:instrText xml:space="preserve"> </w:instrText>
          </w:r>
          <w:r>
            <w:instrText xml:space="preserve">PAGEREF _Toc198652069 \h</w:instrText>
          </w:r>
          <w:r>
            <w:rPr>
              <w:rFonts w:hint="eastAsia"/>
            </w:rPr>
            <w:instrText xml:space="preserve"> </w:instrText>
          </w:r>
          <w:r>
            <w:rPr>
              <w:rFonts w:hint="eastAsia"/>
            </w:rPr>
            <w:fldChar w:fldCharType="separate"/>
          </w:r>
          <w:r>
            <w:t>81</w:t>
          </w:r>
          <w:r>
            <w:rPr>
              <w:rFonts w:hint="eastAsia"/>
            </w:rPr>
            <w:fldChar w:fldCharType="end"/>
          </w:r>
          <w:r>
            <w:rPr>
              <w:rFonts w:hint="eastAsia"/>
            </w:rPr>
            <w:fldChar w:fldCharType="end"/>
          </w:r>
        </w:p>
        <w:p w14:paraId="790FA9A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"_Toc198652070" </w:instrText>
          </w:r>
          <w:r>
            <w:fldChar w:fldCharType="separate"/>
          </w:r>
          <w:r>
            <w:rPr>
              <w:rStyle w:val="22"/>
              <w:rFonts w:hint="eastAsia" w:eastAsia="黑体" w:cs="Times New Roman"/>
              <w:kern w:val="0"/>
            </w:rPr>
            <w:t>5.2.1三湖河中型灌区</w:t>
          </w:r>
          <w:r>
            <w:rPr>
              <w:rFonts w:hint="eastAsia"/>
            </w:rPr>
            <w:tab/>
          </w:r>
          <w:r>
            <w:rPr>
              <w:rFonts w:hint="eastAsia"/>
            </w:rPr>
            <w:fldChar w:fldCharType="begin"/>
          </w:r>
          <w:r>
            <w:rPr>
              <w:rFonts w:hint="eastAsia"/>
            </w:rPr>
            <w:instrText xml:space="preserve"> </w:instrText>
          </w:r>
          <w:r>
            <w:instrText xml:space="preserve">PAGEREF _Toc198652070 \h</w:instrText>
          </w:r>
          <w:r>
            <w:rPr>
              <w:rFonts w:hint="eastAsia"/>
            </w:rPr>
            <w:instrText xml:space="preserve"> </w:instrText>
          </w:r>
          <w:r>
            <w:rPr>
              <w:rFonts w:hint="eastAsia"/>
            </w:rPr>
            <w:fldChar w:fldCharType="separate"/>
          </w:r>
          <w:r>
            <w:t>81</w:t>
          </w:r>
          <w:r>
            <w:rPr>
              <w:rFonts w:hint="eastAsia"/>
            </w:rPr>
            <w:fldChar w:fldCharType="end"/>
          </w:r>
          <w:r>
            <w:rPr>
              <w:rFonts w:hint="eastAsia"/>
            </w:rPr>
            <w:fldChar w:fldCharType="end"/>
          </w:r>
        </w:p>
        <w:p w14:paraId="68EC6BC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"_Toc198652071" </w:instrText>
          </w:r>
          <w:r>
            <w:fldChar w:fldCharType="separate"/>
          </w:r>
          <w:r>
            <w:rPr>
              <w:rStyle w:val="22"/>
              <w:rFonts w:hint="eastAsia" w:eastAsia="黑体" w:cs="Times New Roman"/>
              <w:kern w:val="0"/>
            </w:rPr>
            <w:t>5.2.2小型农田灌溉情况</w:t>
          </w:r>
          <w:r>
            <w:rPr>
              <w:rFonts w:hint="eastAsia"/>
            </w:rPr>
            <w:tab/>
          </w:r>
          <w:r>
            <w:rPr>
              <w:rFonts w:hint="eastAsia"/>
            </w:rPr>
            <w:fldChar w:fldCharType="begin"/>
          </w:r>
          <w:r>
            <w:rPr>
              <w:rFonts w:hint="eastAsia"/>
            </w:rPr>
            <w:instrText xml:space="preserve"> </w:instrText>
          </w:r>
          <w:r>
            <w:instrText xml:space="preserve">PAGEREF _Toc198652071 \h</w:instrText>
          </w:r>
          <w:r>
            <w:rPr>
              <w:rFonts w:hint="eastAsia"/>
            </w:rPr>
            <w:instrText xml:space="preserve"> </w:instrText>
          </w:r>
          <w:r>
            <w:rPr>
              <w:rFonts w:hint="eastAsia"/>
            </w:rPr>
            <w:fldChar w:fldCharType="separate"/>
          </w:r>
          <w:r>
            <w:t>82</w:t>
          </w:r>
          <w:r>
            <w:rPr>
              <w:rFonts w:hint="eastAsia"/>
            </w:rPr>
            <w:fldChar w:fldCharType="end"/>
          </w:r>
          <w:r>
            <w:rPr>
              <w:rFonts w:hint="eastAsia"/>
            </w:rPr>
            <w:fldChar w:fldCharType="end"/>
          </w:r>
        </w:p>
        <w:p w14:paraId="50F03BF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"_Toc198652072" </w:instrText>
          </w:r>
          <w:r>
            <w:fldChar w:fldCharType="separate"/>
          </w:r>
          <w:r>
            <w:rPr>
              <w:rStyle w:val="22"/>
              <w:rFonts w:hint="eastAsia" w:eastAsia="黑体" w:cs="Times New Roman"/>
              <w:kern w:val="0"/>
            </w:rPr>
            <w:t>5.2.3农田水利设施</w:t>
          </w:r>
          <w:r>
            <w:rPr>
              <w:rFonts w:hint="eastAsia"/>
            </w:rPr>
            <w:tab/>
          </w:r>
          <w:r>
            <w:rPr>
              <w:rFonts w:hint="eastAsia"/>
            </w:rPr>
            <w:fldChar w:fldCharType="begin"/>
          </w:r>
          <w:r>
            <w:rPr>
              <w:rFonts w:hint="eastAsia"/>
            </w:rPr>
            <w:instrText xml:space="preserve"> </w:instrText>
          </w:r>
          <w:r>
            <w:instrText xml:space="preserve">PAGEREF _Toc198652072 \h</w:instrText>
          </w:r>
          <w:r>
            <w:rPr>
              <w:rFonts w:hint="eastAsia"/>
            </w:rPr>
            <w:instrText xml:space="preserve"> </w:instrText>
          </w:r>
          <w:r>
            <w:rPr>
              <w:rFonts w:hint="eastAsia"/>
            </w:rPr>
            <w:fldChar w:fldCharType="separate"/>
          </w:r>
          <w:r>
            <w:t>82</w:t>
          </w:r>
          <w:r>
            <w:rPr>
              <w:rFonts w:hint="eastAsia"/>
            </w:rPr>
            <w:fldChar w:fldCharType="end"/>
          </w:r>
          <w:r>
            <w:rPr>
              <w:rFonts w:hint="eastAsia"/>
            </w:rPr>
            <w:fldChar w:fldCharType="end"/>
          </w:r>
        </w:p>
        <w:p w14:paraId="2B3937D1">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"_Toc198652073" </w:instrText>
          </w:r>
          <w:r>
            <w:fldChar w:fldCharType="separate"/>
          </w:r>
          <w:r>
            <w:rPr>
              <w:rStyle w:val="22"/>
              <w:rFonts w:hint="eastAsia" w:eastAsia="黑体" w:cs="Times New Roman"/>
              <w:kern w:val="0"/>
            </w:rPr>
            <w:t>5.2.4排水工程</w:t>
          </w:r>
          <w:r>
            <w:rPr>
              <w:rFonts w:hint="eastAsia"/>
            </w:rPr>
            <w:tab/>
          </w:r>
          <w:r>
            <w:rPr>
              <w:rFonts w:hint="eastAsia"/>
            </w:rPr>
            <w:fldChar w:fldCharType="begin"/>
          </w:r>
          <w:r>
            <w:rPr>
              <w:rFonts w:hint="eastAsia"/>
            </w:rPr>
            <w:instrText xml:space="preserve"> </w:instrText>
          </w:r>
          <w:r>
            <w:instrText xml:space="preserve">PAGEREF _Toc198652073 \h</w:instrText>
          </w:r>
          <w:r>
            <w:rPr>
              <w:rFonts w:hint="eastAsia"/>
            </w:rPr>
            <w:instrText xml:space="preserve"> </w:instrText>
          </w:r>
          <w:r>
            <w:rPr>
              <w:rFonts w:hint="eastAsia"/>
            </w:rPr>
            <w:fldChar w:fldCharType="separate"/>
          </w:r>
          <w:r>
            <w:t>83</w:t>
          </w:r>
          <w:r>
            <w:rPr>
              <w:rFonts w:hint="eastAsia"/>
            </w:rPr>
            <w:fldChar w:fldCharType="end"/>
          </w:r>
          <w:r>
            <w:rPr>
              <w:rFonts w:hint="eastAsia"/>
            </w:rPr>
            <w:fldChar w:fldCharType="end"/>
          </w:r>
        </w:p>
        <w:p w14:paraId="4D1F128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"_Toc198652074" </w:instrText>
          </w:r>
          <w:r>
            <w:fldChar w:fldCharType="separate"/>
          </w:r>
          <w:r>
            <w:rPr>
              <w:rStyle w:val="22"/>
              <w:rFonts w:hint="eastAsia" w:eastAsia="黑体" w:cs="Times New Roman"/>
              <w:kern w:val="0"/>
            </w:rPr>
            <w:t>5.3推进灌溉现代化建设和改造</w:t>
          </w:r>
          <w:r>
            <w:rPr>
              <w:rFonts w:hint="eastAsia"/>
            </w:rPr>
            <w:tab/>
          </w:r>
          <w:r>
            <w:rPr>
              <w:rFonts w:hint="eastAsia"/>
            </w:rPr>
            <w:fldChar w:fldCharType="begin"/>
          </w:r>
          <w:r>
            <w:rPr>
              <w:rFonts w:hint="eastAsia"/>
            </w:rPr>
            <w:instrText xml:space="preserve"> </w:instrText>
          </w:r>
          <w:r>
            <w:instrText xml:space="preserve">PAGEREF _Toc198652074 \h</w:instrText>
          </w:r>
          <w:r>
            <w:rPr>
              <w:rFonts w:hint="eastAsia"/>
            </w:rPr>
            <w:instrText xml:space="preserve"> </w:instrText>
          </w:r>
          <w:r>
            <w:rPr>
              <w:rFonts w:hint="eastAsia"/>
            </w:rPr>
            <w:fldChar w:fldCharType="separate"/>
          </w:r>
          <w:r>
            <w:t>84</w:t>
          </w:r>
          <w:r>
            <w:rPr>
              <w:rFonts w:hint="eastAsia"/>
            </w:rPr>
            <w:fldChar w:fldCharType="end"/>
          </w:r>
          <w:r>
            <w:rPr>
              <w:rFonts w:hint="eastAsia"/>
            </w:rPr>
            <w:fldChar w:fldCharType="end"/>
          </w:r>
        </w:p>
        <w:p w14:paraId="3C16E1C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"_Toc198652075" </w:instrText>
          </w:r>
          <w:r>
            <w:fldChar w:fldCharType="separate"/>
          </w:r>
          <w:r>
            <w:rPr>
              <w:rStyle w:val="22"/>
              <w:rFonts w:hint="eastAsia" w:eastAsia="黑体" w:cs="Times New Roman"/>
              <w:kern w:val="0"/>
            </w:rPr>
            <w:t>5.3.1灌区改造原因</w:t>
          </w:r>
          <w:r>
            <w:rPr>
              <w:rFonts w:hint="eastAsia"/>
            </w:rPr>
            <w:tab/>
          </w:r>
          <w:r>
            <w:rPr>
              <w:rFonts w:hint="eastAsia"/>
            </w:rPr>
            <w:fldChar w:fldCharType="begin"/>
          </w:r>
          <w:r>
            <w:rPr>
              <w:rFonts w:hint="eastAsia"/>
            </w:rPr>
            <w:instrText xml:space="preserve"> </w:instrText>
          </w:r>
          <w:r>
            <w:instrText xml:space="preserve">PAGEREF _Toc198652075 \h</w:instrText>
          </w:r>
          <w:r>
            <w:rPr>
              <w:rFonts w:hint="eastAsia"/>
            </w:rPr>
            <w:instrText xml:space="preserve"> </w:instrText>
          </w:r>
          <w:r>
            <w:rPr>
              <w:rFonts w:hint="eastAsia"/>
            </w:rPr>
            <w:fldChar w:fldCharType="separate"/>
          </w:r>
          <w:r>
            <w:t>84</w:t>
          </w:r>
          <w:r>
            <w:rPr>
              <w:rFonts w:hint="eastAsia"/>
            </w:rPr>
            <w:fldChar w:fldCharType="end"/>
          </w:r>
          <w:r>
            <w:rPr>
              <w:rFonts w:hint="eastAsia"/>
            </w:rPr>
            <w:fldChar w:fldCharType="end"/>
          </w:r>
        </w:p>
        <w:p w14:paraId="54E1024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"_Toc198652076" </w:instrText>
          </w:r>
          <w:r>
            <w:fldChar w:fldCharType="separate"/>
          </w:r>
          <w:r>
            <w:rPr>
              <w:rStyle w:val="22"/>
              <w:rFonts w:hint="eastAsia" w:eastAsia="黑体" w:cs="Times New Roman"/>
              <w:kern w:val="0"/>
            </w:rPr>
            <w:t>5.3.灌区建设和改造</w:t>
          </w:r>
          <w:r>
            <w:rPr>
              <w:rFonts w:hint="eastAsia"/>
            </w:rPr>
            <w:tab/>
          </w:r>
          <w:r>
            <w:rPr>
              <w:rFonts w:hint="eastAsia"/>
            </w:rPr>
            <w:fldChar w:fldCharType="begin"/>
          </w:r>
          <w:r>
            <w:rPr>
              <w:rFonts w:hint="eastAsia"/>
            </w:rPr>
            <w:instrText xml:space="preserve"> </w:instrText>
          </w:r>
          <w:r>
            <w:instrText xml:space="preserve">PAGEREF _Toc198652076 \h</w:instrText>
          </w:r>
          <w:r>
            <w:rPr>
              <w:rFonts w:hint="eastAsia"/>
            </w:rPr>
            <w:instrText xml:space="preserve"> </w:instrText>
          </w:r>
          <w:r>
            <w:rPr>
              <w:rFonts w:hint="eastAsia"/>
            </w:rPr>
            <w:fldChar w:fldCharType="separate"/>
          </w:r>
          <w:r>
            <w:t>85</w:t>
          </w:r>
          <w:r>
            <w:rPr>
              <w:rFonts w:hint="eastAsia"/>
            </w:rPr>
            <w:fldChar w:fldCharType="end"/>
          </w:r>
          <w:r>
            <w:rPr>
              <w:rFonts w:hint="eastAsia"/>
            </w:rPr>
            <w:fldChar w:fldCharType="end"/>
          </w:r>
        </w:p>
        <w:p w14:paraId="572186AE">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"_Toc198652077" </w:instrText>
          </w:r>
          <w:r>
            <w:fldChar w:fldCharType="separate"/>
          </w:r>
          <w:r>
            <w:rPr>
              <w:rStyle w:val="22"/>
              <w:rFonts w:hint="eastAsia" w:eastAsia="黑体" w:cs="Times New Roman"/>
            </w:rPr>
            <w:t>6构建河湖生态保护网</w:t>
          </w:r>
          <w:r>
            <w:rPr>
              <w:rFonts w:hint="eastAsia"/>
            </w:rPr>
            <w:tab/>
          </w:r>
          <w:r>
            <w:rPr>
              <w:rFonts w:hint="eastAsia"/>
            </w:rPr>
            <w:fldChar w:fldCharType="begin"/>
          </w:r>
          <w:r>
            <w:rPr>
              <w:rFonts w:hint="eastAsia"/>
            </w:rPr>
            <w:instrText xml:space="preserve"> </w:instrText>
          </w:r>
          <w:r>
            <w:instrText xml:space="preserve">PAGEREF _Toc198652077 \h</w:instrText>
          </w:r>
          <w:r>
            <w:rPr>
              <w:rFonts w:hint="eastAsia"/>
            </w:rPr>
            <w:instrText xml:space="preserve"> </w:instrText>
          </w:r>
          <w:r>
            <w:rPr>
              <w:rFonts w:hint="eastAsia"/>
            </w:rPr>
            <w:fldChar w:fldCharType="separate"/>
          </w:r>
          <w:r>
            <w:t>87</w:t>
          </w:r>
          <w:r>
            <w:rPr>
              <w:rFonts w:hint="eastAsia"/>
            </w:rPr>
            <w:fldChar w:fldCharType="end"/>
          </w:r>
          <w:r>
            <w:rPr>
              <w:rFonts w:hint="eastAsia"/>
            </w:rPr>
            <w:fldChar w:fldCharType="end"/>
          </w:r>
        </w:p>
        <w:p w14:paraId="3C38AB16">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"_Toc198652078" </w:instrText>
          </w:r>
          <w:r>
            <w:fldChar w:fldCharType="separate"/>
          </w:r>
          <w:r>
            <w:rPr>
              <w:rStyle w:val="22"/>
              <w:rFonts w:hint="eastAsia" w:eastAsia="黑体" w:cs="Times New Roman"/>
              <w:kern w:val="0"/>
            </w:rPr>
            <w:t>6.1基本思路</w:t>
          </w:r>
          <w:r>
            <w:rPr>
              <w:rFonts w:hint="eastAsia"/>
            </w:rPr>
            <w:tab/>
          </w:r>
          <w:r>
            <w:rPr>
              <w:rFonts w:hint="eastAsia"/>
            </w:rPr>
            <w:fldChar w:fldCharType="begin"/>
          </w:r>
          <w:r>
            <w:rPr>
              <w:rFonts w:hint="eastAsia"/>
            </w:rPr>
            <w:instrText xml:space="preserve"> </w:instrText>
          </w:r>
          <w:r>
            <w:instrText xml:space="preserve">PAGEREF _Toc198652078 \h</w:instrText>
          </w:r>
          <w:r>
            <w:rPr>
              <w:rFonts w:hint="eastAsia"/>
            </w:rPr>
            <w:instrText xml:space="preserve"> </w:instrText>
          </w:r>
          <w:r>
            <w:rPr>
              <w:rFonts w:hint="eastAsia"/>
            </w:rPr>
            <w:fldChar w:fldCharType="separate"/>
          </w:r>
          <w:r>
            <w:t>87</w:t>
          </w:r>
          <w:r>
            <w:rPr>
              <w:rFonts w:hint="eastAsia"/>
            </w:rPr>
            <w:fldChar w:fldCharType="end"/>
          </w:r>
          <w:r>
            <w:rPr>
              <w:rFonts w:hint="eastAsia"/>
            </w:rPr>
            <w:fldChar w:fldCharType="end"/>
          </w:r>
        </w:p>
        <w:p w14:paraId="650837B8">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"_Toc198652079" </w:instrText>
          </w:r>
          <w:r>
            <w:fldChar w:fldCharType="separate"/>
          </w:r>
          <w:r>
            <w:rPr>
              <w:rStyle w:val="22"/>
              <w:rFonts w:hint="eastAsia" w:eastAsia="黑体" w:cs="Times New Roman"/>
              <w:kern w:val="0"/>
            </w:rPr>
            <w:t>6.2水生态水环境空间管控</w:t>
          </w:r>
          <w:r>
            <w:rPr>
              <w:rFonts w:hint="eastAsia"/>
            </w:rPr>
            <w:tab/>
          </w:r>
          <w:r>
            <w:rPr>
              <w:rFonts w:hint="eastAsia"/>
            </w:rPr>
            <w:fldChar w:fldCharType="begin"/>
          </w:r>
          <w:r>
            <w:rPr>
              <w:rFonts w:hint="eastAsia"/>
            </w:rPr>
            <w:instrText xml:space="preserve"> </w:instrText>
          </w:r>
          <w:r>
            <w:instrText xml:space="preserve">PAGEREF _Toc198652079 \h</w:instrText>
          </w:r>
          <w:r>
            <w:rPr>
              <w:rFonts w:hint="eastAsia"/>
            </w:rPr>
            <w:instrText xml:space="preserve"> </w:instrText>
          </w:r>
          <w:r>
            <w:rPr>
              <w:rFonts w:hint="eastAsia"/>
            </w:rPr>
            <w:fldChar w:fldCharType="separate"/>
          </w:r>
          <w:r>
            <w:t>87</w:t>
          </w:r>
          <w:r>
            <w:rPr>
              <w:rFonts w:hint="eastAsia"/>
            </w:rPr>
            <w:fldChar w:fldCharType="end"/>
          </w:r>
          <w:r>
            <w:rPr>
              <w:rFonts w:hint="eastAsia"/>
            </w:rPr>
            <w:fldChar w:fldCharType="end"/>
          </w:r>
        </w:p>
        <w:p w14:paraId="074E67B0">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"_Toc198652080" </w:instrText>
          </w:r>
          <w:r>
            <w:fldChar w:fldCharType="separate"/>
          </w:r>
          <w:r>
            <w:rPr>
              <w:rStyle w:val="22"/>
              <w:rFonts w:hint="eastAsia" w:eastAsia="黑体" w:cs="Times New Roman"/>
              <w:kern w:val="0"/>
            </w:rPr>
            <w:t>6.2.1涉水生态空间划定与功能管控</w:t>
          </w:r>
          <w:r>
            <w:rPr>
              <w:rFonts w:hint="eastAsia"/>
            </w:rPr>
            <w:tab/>
          </w:r>
          <w:r>
            <w:rPr>
              <w:rFonts w:hint="eastAsia"/>
            </w:rPr>
            <w:fldChar w:fldCharType="begin"/>
          </w:r>
          <w:r>
            <w:rPr>
              <w:rFonts w:hint="eastAsia"/>
            </w:rPr>
            <w:instrText xml:space="preserve"> </w:instrText>
          </w:r>
          <w:r>
            <w:instrText xml:space="preserve">PAGEREF _Toc198652080 \h</w:instrText>
          </w:r>
          <w:r>
            <w:rPr>
              <w:rFonts w:hint="eastAsia"/>
            </w:rPr>
            <w:instrText xml:space="preserve"> </w:instrText>
          </w:r>
          <w:r>
            <w:rPr>
              <w:rFonts w:hint="eastAsia"/>
            </w:rPr>
            <w:fldChar w:fldCharType="separate"/>
          </w:r>
          <w:r>
            <w:t>88</w:t>
          </w:r>
          <w:r>
            <w:rPr>
              <w:rFonts w:hint="eastAsia"/>
            </w:rPr>
            <w:fldChar w:fldCharType="end"/>
          </w:r>
          <w:r>
            <w:rPr>
              <w:rFonts w:hint="eastAsia"/>
            </w:rPr>
            <w:fldChar w:fldCharType="end"/>
          </w:r>
        </w:p>
        <w:p w14:paraId="65EC763E">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"_Toc198652081" </w:instrText>
          </w:r>
          <w:r>
            <w:fldChar w:fldCharType="separate"/>
          </w:r>
          <w:r>
            <w:rPr>
              <w:rStyle w:val="22"/>
              <w:rFonts w:hint="eastAsia" w:eastAsia="黑体" w:cs="Times New Roman"/>
              <w:kern w:val="0"/>
            </w:rPr>
            <w:t>6.2.2涉水生态空间与其他空间协调</w:t>
          </w:r>
          <w:r>
            <w:rPr>
              <w:rFonts w:hint="eastAsia"/>
            </w:rPr>
            <w:tab/>
          </w:r>
          <w:r>
            <w:rPr>
              <w:rFonts w:hint="eastAsia"/>
            </w:rPr>
            <w:fldChar w:fldCharType="begin"/>
          </w:r>
          <w:r>
            <w:rPr>
              <w:rFonts w:hint="eastAsia"/>
            </w:rPr>
            <w:instrText xml:space="preserve"> </w:instrText>
          </w:r>
          <w:r>
            <w:instrText xml:space="preserve">PAGEREF _Toc198652081 \h</w:instrText>
          </w:r>
          <w:r>
            <w:rPr>
              <w:rFonts w:hint="eastAsia"/>
            </w:rPr>
            <w:instrText xml:space="preserve"> </w:instrText>
          </w:r>
          <w:r>
            <w:rPr>
              <w:rFonts w:hint="eastAsia"/>
            </w:rPr>
            <w:fldChar w:fldCharType="separate"/>
          </w:r>
          <w:r>
            <w:t>93</w:t>
          </w:r>
          <w:r>
            <w:rPr>
              <w:rFonts w:hint="eastAsia"/>
            </w:rPr>
            <w:fldChar w:fldCharType="end"/>
          </w:r>
          <w:r>
            <w:rPr>
              <w:rFonts w:hint="eastAsia"/>
            </w:rPr>
            <w:fldChar w:fldCharType="end"/>
          </w:r>
        </w:p>
        <w:p w14:paraId="3B81284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"_Toc198652082" </w:instrText>
          </w:r>
          <w:r>
            <w:fldChar w:fldCharType="separate"/>
          </w:r>
          <w:r>
            <w:rPr>
              <w:rStyle w:val="22"/>
              <w:rFonts w:hint="eastAsia" w:eastAsia="黑体" w:cs="Times New Roman"/>
              <w:kern w:val="0"/>
            </w:rPr>
            <w:t>6.2.3重大水利基础设施预留空间</w:t>
          </w:r>
          <w:r>
            <w:rPr>
              <w:rFonts w:hint="eastAsia"/>
            </w:rPr>
            <w:tab/>
          </w:r>
          <w:r>
            <w:rPr>
              <w:rFonts w:hint="eastAsia"/>
            </w:rPr>
            <w:fldChar w:fldCharType="begin"/>
          </w:r>
          <w:r>
            <w:rPr>
              <w:rFonts w:hint="eastAsia"/>
            </w:rPr>
            <w:instrText xml:space="preserve"> </w:instrText>
          </w:r>
          <w:r>
            <w:instrText xml:space="preserve">PAGEREF _Toc198652082 \h</w:instrText>
          </w:r>
          <w:r>
            <w:rPr>
              <w:rFonts w:hint="eastAsia"/>
            </w:rPr>
            <w:instrText xml:space="preserve"> </w:instrText>
          </w:r>
          <w:r>
            <w:rPr>
              <w:rFonts w:hint="eastAsia"/>
            </w:rPr>
            <w:fldChar w:fldCharType="separate"/>
          </w:r>
          <w:r>
            <w:t>93</w:t>
          </w:r>
          <w:r>
            <w:rPr>
              <w:rFonts w:hint="eastAsia"/>
            </w:rPr>
            <w:fldChar w:fldCharType="end"/>
          </w:r>
          <w:r>
            <w:rPr>
              <w:rFonts w:hint="eastAsia"/>
            </w:rPr>
            <w:fldChar w:fldCharType="end"/>
          </w:r>
        </w:p>
        <w:p w14:paraId="64F2FA0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"_Toc198652083" </w:instrText>
          </w:r>
          <w:r>
            <w:fldChar w:fldCharType="separate"/>
          </w:r>
          <w:r>
            <w:rPr>
              <w:rStyle w:val="22"/>
              <w:rFonts w:hint="eastAsia" w:eastAsia="黑体" w:cs="Times New Roman"/>
              <w:kern w:val="0"/>
            </w:rPr>
            <w:t>6.3水土保持与水源涵养</w:t>
          </w:r>
          <w:r>
            <w:rPr>
              <w:rFonts w:hint="eastAsia"/>
            </w:rPr>
            <w:tab/>
          </w:r>
          <w:r>
            <w:rPr>
              <w:rFonts w:hint="eastAsia"/>
            </w:rPr>
            <w:fldChar w:fldCharType="begin"/>
          </w:r>
          <w:r>
            <w:rPr>
              <w:rFonts w:hint="eastAsia"/>
            </w:rPr>
            <w:instrText xml:space="preserve"> </w:instrText>
          </w:r>
          <w:r>
            <w:instrText xml:space="preserve">PAGEREF _Toc198652083 \h</w:instrText>
          </w:r>
          <w:r>
            <w:rPr>
              <w:rFonts w:hint="eastAsia"/>
            </w:rPr>
            <w:instrText xml:space="preserve"> </w:instrText>
          </w:r>
          <w:r>
            <w:rPr>
              <w:rFonts w:hint="eastAsia"/>
            </w:rPr>
            <w:fldChar w:fldCharType="separate"/>
          </w:r>
          <w:r>
            <w:t>93</w:t>
          </w:r>
          <w:r>
            <w:rPr>
              <w:rFonts w:hint="eastAsia"/>
            </w:rPr>
            <w:fldChar w:fldCharType="end"/>
          </w:r>
          <w:r>
            <w:rPr>
              <w:rFonts w:hint="eastAsia"/>
            </w:rPr>
            <w:fldChar w:fldCharType="end"/>
          </w:r>
        </w:p>
        <w:p w14:paraId="586E5D91">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"_Toc198652084" </w:instrText>
          </w:r>
          <w:r>
            <w:fldChar w:fldCharType="separate"/>
          </w:r>
          <w:r>
            <w:rPr>
              <w:rStyle w:val="22"/>
              <w:rFonts w:hint="eastAsia" w:eastAsia="黑体" w:cs="Times New Roman"/>
              <w:kern w:val="0"/>
            </w:rPr>
            <w:t>6.3.1水土保持治理片区</w:t>
          </w:r>
          <w:r>
            <w:rPr>
              <w:rFonts w:hint="eastAsia"/>
            </w:rPr>
            <w:tab/>
          </w:r>
          <w:r>
            <w:rPr>
              <w:rFonts w:hint="eastAsia"/>
            </w:rPr>
            <w:fldChar w:fldCharType="begin"/>
          </w:r>
          <w:r>
            <w:rPr>
              <w:rFonts w:hint="eastAsia"/>
            </w:rPr>
            <w:instrText xml:space="preserve"> </w:instrText>
          </w:r>
          <w:r>
            <w:instrText xml:space="preserve">PAGEREF _Toc198652084 \h</w:instrText>
          </w:r>
          <w:r>
            <w:rPr>
              <w:rFonts w:hint="eastAsia"/>
            </w:rPr>
            <w:instrText xml:space="preserve"> </w:instrText>
          </w:r>
          <w:r>
            <w:rPr>
              <w:rFonts w:hint="eastAsia"/>
            </w:rPr>
            <w:fldChar w:fldCharType="separate"/>
          </w:r>
          <w:r>
            <w:t>94</w:t>
          </w:r>
          <w:r>
            <w:rPr>
              <w:rFonts w:hint="eastAsia"/>
            </w:rPr>
            <w:fldChar w:fldCharType="end"/>
          </w:r>
          <w:r>
            <w:rPr>
              <w:rFonts w:hint="eastAsia"/>
            </w:rPr>
            <w:fldChar w:fldCharType="end"/>
          </w:r>
        </w:p>
        <w:p w14:paraId="1D08760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"_Toc198652085" </w:instrText>
          </w:r>
          <w:r>
            <w:fldChar w:fldCharType="separate"/>
          </w:r>
          <w:r>
            <w:rPr>
              <w:rStyle w:val="22"/>
              <w:rFonts w:hint="eastAsia" w:eastAsia="黑体" w:cs="Times New Roman"/>
              <w:kern w:val="0"/>
            </w:rPr>
            <w:t>6.3.2水土保持重点措施</w:t>
          </w:r>
          <w:r>
            <w:rPr>
              <w:rFonts w:hint="eastAsia"/>
            </w:rPr>
            <w:tab/>
          </w:r>
          <w:r>
            <w:rPr>
              <w:rFonts w:hint="eastAsia"/>
            </w:rPr>
            <w:fldChar w:fldCharType="begin"/>
          </w:r>
          <w:r>
            <w:rPr>
              <w:rFonts w:hint="eastAsia"/>
            </w:rPr>
            <w:instrText xml:space="preserve"> </w:instrText>
          </w:r>
          <w:r>
            <w:instrText xml:space="preserve">PAGEREF _Toc198652085 \h</w:instrText>
          </w:r>
          <w:r>
            <w:rPr>
              <w:rFonts w:hint="eastAsia"/>
            </w:rPr>
            <w:instrText xml:space="preserve"> </w:instrText>
          </w:r>
          <w:r>
            <w:rPr>
              <w:rFonts w:hint="eastAsia"/>
            </w:rPr>
            <w:fldChar w:fldCharType="separate"/>
          </w:r>
          <w:r>
            <w:t>94</w:t>
          </w:r>
          <w:r>
            <w:rPr>
              <w:rFonts w:hint="eastAsia"/>
            </w:rPr>
            <w:fldChar w:fldCharType="end"/>
          </w:r>
          <w:r>
            <w:rPr>
              <w:rFonts w:hint="eastAsia"/>
            </w:rPr>
            <w:fldChar w:fldCharType="end"/>
          </w:r>
        </w:p>
        <w:p w14:paraId="68A4585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"_Toc198652086" </w:instrText>
          </w:r>
          <w:r>
            <w:fldChar w:fldCharType="separate"/>
          </w:r>
          <w:r>
            <w:rPr>
              <w:rStyle w:val="22"/>
              <w:rFonts w:hint="eastAsia" w:eastAsia="黑体" w:cs="Times New Roman"/>
              <w:kern w:val="0"/>
            </w:rPr>
            <w:t>6.3.3水土保持综合监管能力建设</w:t>
          </w:r>
          <w:r>
            <w:rPr>
              <w:rFonts w:hint="eastAsia"/>
            </w:rPr>
            <w:tab/>
          </w:r>
          <w:r>
            <w:rPr>
              <w:rFonts w:hint="eastAsia"/>
            </w:rPr>
            <w:fldChar w:fldCharType="begin"/>
          </w:r>
          <w:r>
            <w:rPr>
              <w:rFonts w:hint="eastAsia"/>
            </w:rPr>
            <w:instrText xml:space="preserve"> </w:instrText>
          </w:r>
          <w:r>
            <w:instrText xml:space="preserve">PAGEREF _Toc198652086 \h</w:instrText>
          </w:r>
          <w:r>
            <w:rPr>
              <w:rFonts w:hint="eastAsia"/>
            </w:rPr>
            <w:instrText xml:space="preserve"> </w:instrText>
          </w:r>
          <w:r>
            <w:rPr>
              <w:rFonts w:hint="eastAsia"/>
            </w:rPr>
            <w:fldChar w:fldCharType="separate"/>
          </w:r>
          <w:r>
            <w:t>95</w:t>
          </w:r>
          <w:r>
            <w:rPr>
              <w:rFonts w:hint="eastAsia"/>
            </w:rPr>
            <w:fldChar w:fldCharType="end"/>
          </w:r>
          <w:r>
            <w:rPr>
              <w:rFonts w:hint="eastAsia"/>
            </w:rPr>
            <w:fldChar w:fldCharType="end"/>
          </w:r>
        </w:p>
        <w:p w14:paraId="03DDAFC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"_Toc198652087" </w:instrText>
          </w:r>
          <w:r>
            <w:fldChar w:fldCharType="separate"/>
          </w:r>
          <w:r>
            <w:rPr>
              <w:rStyle w:val="22"/>
              <w:rFonts w:hint="eastAsia" w:eastAsia="黑体" w:cs="Times New Roman"/>
              <w:kern w:val="0"/>
            </w:rPr>
            <w:t>6.4河流水生态保护与修复</w:t>
          </w:r>
          <w:r>
            <w:rPr>
              <w:rFonts w:hint="eastAsia"/>
            </w:rPr>
            <w:tab/>
          </w:r>
          <w:r>
            <w:rPr>
              <w:rFonts w:hint="eastAsia"/>
            </w:rPr>
            <w:fldChar w:fldCharType="begin"/>
          </w:r>
          <w:r>
            <w:rPr>
              <w:rFonts w:hint="eastAsia"/>
            </w:rPr>
            <w:instrText xml:space="preserve"> </w:instrText>
          </w:r>
          <w:r>
            <w:instrText xml:space="preserve">PAGEREF _Toc198652087 \h</w:instrText>
          </w:r>
          <w:r>
            <w:rPr>
              <w:rFonts w:hint="eastAsia"/>
            </w:rPr>
            <w:instrText xml:space="preserve"> </w:instrText>
          </w:r>
          <w:r>
            <w:rPr>
              <w:rFonts w:hint="eastAsia"/>
            </w:rPr>
            <w:fldChar w:fldCharType="separate"/>
          </w:r>
          <w:r>
            <w:t>96</w:t>
          </w:r>
          <w:r>
            <w:rPr>
              <w:rFonts w:hint="eastAsia"/>
            </w:rPr>
            <w:fldChar w:fldCharType="end"/>
          </w:r>
          <w:r>
            <w:rPr>
              <w:rFonts w:hint="eastAsia"/>
            </w:rPr>
            <w:fldChar w:fldCharType="end"/>
          </w:r>
        </w:p>
        <w:p w14:paraId="6AACA17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"_Toc198652088" </w:instrText>
          </w:r>
          <w:r>
            <w:fldChar w:fldCharType="separate"/>
          </w:r>
          <w:r>
            <w:rPr>
              <w:rStyle w:val="22"/>
              <w:rFonts w:hint="eastAsia" w:eastAsia="黑体" w:cs="Times New Roman"/>
              <w:kern w:val="0"/>
            </w:rPr>
            <w:t>6.4.1生态流量保障</w:t>
          </w:r>
          <w:r>
            <w:rPr>
              <w:rFonts w:hint="eastAsia"/>
            </w:rPr>
            <w:tab/>
          </w:r>
          <w:r>
            <w:rPr>
              <w:rFonts w:hint="eastAsia"/>
            </w:rPr>
            <w:fldChar w:fldCharType="begin"/>
          </w:r>
          <w:r>
            <w:rPr>
              <w:rFonts w:hint="eastAsia"/>
            </w:rPr>
            <w:instrText xml:space="preserve"> </w:instrText>
          </w:r>
          <w:r>
            <w:instrText xml:space="preserve">PAGEREF _Toc198652088 \h</w:instrText>
          </w:r>
          <w:r>
            <w:rPr>
              <w:rFonts w:hint="eastAsia"/>
            </w:rPr>
            <w:instrText xml:space="preserve"> </w:instrText>
          </w:r>
          <w:r>
            <w:rPr>
              <w:rFonts w:hint="eastAsia"/>
            </w:rPr>
            <w:fldChar w:fldCharType="separate"/>
          </w:r>
          <w:r>
            <w:t>96</w:t>
          </w:r>
          <w:r>
            <w:rPr>
              <w:rFonts w:hint="eastAsia"/>
            </w:rPr>
            <w:fldChar w:fldCharType="end"/>
          </w:r>
          <w:r>
            <w:rPr>
              <w:rFonts w:hint="eastAsia"/>
            </w:rPr>
            <w:fldChar w:fldCharType="end"/>
          </w:r>
        </w:p>
        <w:p w14:paraId="7BBBDD1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"_Toc198652089" </w:instrText>
          </w:r>
          <w:r>
            <w:fldChar w:fldCharType="separate"/>
          </w:r>
          <w:r>
            <w:rPr>
              <w:rStyle w:val="22"/>
              <w:rFonts w:hint="eastAsia" w:eastAsia="黑体" w:cs="Times New Roman"/>
              <w:kern w:val="0"/>
            </w:rPr>
            <w:t>6.4.2幸福河湖建设</w:t>
          </w:r>
          <w:r>
            <w:rPr>
              <w:rFonts w:hint="eastAsia"/>
            </w:rPr>
            <w:tab/>
          </w:r>
          <w:r>
            <w:rPr>
              <w:rFonts w:hint="eastAsia"/>
            </w:rPr>
            <w:fldChar w:fldCharType="begin"/>
          </w:r>
          <w:r>
            <w:rPr>
              <w:rFonts w:hint="eastAsia"/>
            </w:rPr>
            <w:instrText xml:space="preserve"> </w:instrText>
          </w:r>
          <w:r>
            <w:instrText xml:space="preserve">PAGEREF _Toc198652089 \h</w:instrText>
          </w:r>
          <w:r>
            <w:rPr>
              <w:rFonts w:hint="eastAsia"/>
            </w:rPr>
            <w:instrText xml:space="preserve"> </w:instrText>
          </w:r>
          <w:r>
            <w:rPr>
              <w:rFonts w:hint="eastAsia"/>
            </w:rPr>
            <w:fldChar w:fldCharType="separate"/>
          </w:r>
          <w:r>
            <w:t>97</w:t>
          </w:r>
          <w:r>
            <w:rPr>
              <w:rFonts w:hint="eastAsia"/>
            </w:rPr>
            <w:fldChar w:fldCharType="end"/>
          </w:r>
          <w:r>
            <w:rPr>
              <w:rFonts w:hint="eastAsia"/>
            </w:rPr>
            <w:fldChar w:fldCharType="end"/>
          </w:r>
        </w:p>
        <w:p w14:paraId="711EEE9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"_Toc198652090" </w:instrText>
          </w:r>
          <w:r>
            <w:fldChar w:fldCharType="separate"/>
          </w:r>
          <w:r>
            <w:rPr>
              <w:rStyle w:val="22"/>
              <w:rFonts w:hint="eastAsia" w:eastAsia="黑体" w:cs="Times New Roman"/>
              <w:kern w:val="0"/>
            </w:rPr>
            <w:t>6.4.3城市微水系构建指引</w:t>
          </w:r>
          <w:r>
            <w:rPr>
              <w:rFonts w:hint="eastAsia"/>
            </w:rPr>
            <w:tab/>
          </w:r>
          <w:r>
            <w:rPr>
              <w:rFonts w:hint="eastAsia"/>
            </w:rPr>
            <w:fldChar w:fldCharType="begin"/>
          </w:r>
          <w:r>
            <w:rPr>
              <w:rFonts w:hint="eastAsia"/>
            </w:rPr>
            <w:instrText xml:space="preserve"> </w:instrText>
          </w:r>
          <w:r>
            <w:instrText xml:space="preserve">PAGEREF _Toc198652090 \h</w:instrText>
          </w:r>
          <w:r>
            <w:rPr>
              <w:rFonts w:hint="eastAsia"/>
            </w:rPr>
            <w:instrText xml:space="preserve"> </w:instrText>
          </w:r>
          <w:r>
            <w:rPr>
              <w:rFonts w:hint="eastAsia"/>
            </w:rPr>
            <w:fldChar w:fldCharType="separate"/>
          </w:r>
          <w:r>
            <w:t>97</w:t>
          </w:r>
          <w:r>
            <w:rPr>
              <w:rFonts w:hint="eastAsia"/>
            </w:rPr>
            <w:fldChar w:fldCharType="end"/>
          </w:r>
          <w:r>
            <w:rPr>
              <w:rFonts w:hint="eastAsia"/>
            </w:rPr>
            <w:fldChar w:fldCharType="end"/>
          </w:r>
        </w:p>
        <w:p w14:paraId="4AB4DCB8">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"_Toc198652091" </w:instrText>
          </w:r>
          <w:r>
            <w:fldChar w:fldCharType="separate"/>
          </w:r>
          <w:r>
            <w:rPr>
              <w:rStyle w:val="22"/>
              <w:rFonts w:hint="eastAsia" w:eastAsia="黑体" w:cs="Times New Roman"/>
              <w:kern w:val="0"/>
            </w:rPr>
            <w:t>6.5水环境治理与保护规划</w:t>
          </w:r>
          <w:r>
            <w:rPr>
              <w:rFonts w:hint="eastAsia"/>
            </w:rPr>
            <w:tab/>
          </w:r>
          <w:r>
            <w:rPr>
              <w:rFonts w:hint="eastAsia"/>
            </w:rPr>
            <w:fldChar w:fldCharType="begin"/>
          </w:r>
          <w:r>
            <w:rPr>
              <w:rFonts w:hint="eastAsia"/>
            </w:rPr>
            <w:instrText xml:space="preserve"> </w:instrText>
          </w:r>
          <w:r>
            <w:instrText xml:space="preserve">PAGEREF _Toc198652091 \h</w:instrText>
          </w:r>
          <w:r>
            <w:rPr>
              <w:rFonts w:hint="eastAsia"/>
            </w:rPr>
            <w:instrText xml:space="preserve"> </w:instrText>
          </w:r>
          <w:r>
            <w:rPr>
              <w:rFonts w:hint="eastAsia"/>
            </w:rPr>
            <w:fldChar w:fldCharType="separate"/>
          </w:r>
          <w:r>
            <w:t>98</w:t>
          </w:r>
          <w:r>
            <w:rPr>
              <w:rFonts w:hint="eastAsia"/>
            </w:rPr>
            <w:fldChar w:fldCharType="end"/>
          </w:r>
          <w:r>
            <w:rPr>
              <w:rFonts w:hint="eastAsia"/>
            </w:rPr>
            <w:fldChar w:fldCharType="end"/>
          </w:r>
        </w:p>
        <w:p w14:paraId="1784570A">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"_Toc198652092" </w:instrText>
          </w:r>
          <w:r>
            <w:fldChar w:fldCharType="separate"/>
          </w:r>
          <w:r>
            <w:rPr>
              <w:rStyle w:val="22"/>
              <w:rFonts w:hint="eastAsia" w:eastAsia="黑体" w:cs="Times New Roman"/>
              <w:kern w:val="0"/>
            </w:rPr>
            <w:t>6.5.1水环境治理与水资源保护规划目标</w:t>
          </w:r>
          <w:r>
            <w:rPr>
              <w:rFonts w:hint="eastAsia"/>
            </w:rPr>
            <w:tab/>
          </w:r>
          <w:r>
            <w:rPr>
              <w:rFonts w:hint="eastAsia"/>
            </w:rPr>
            <w:fldChar w:fldCharType="begin"/>
          </w:r>
          <w:r>
            <w:rPr>
              <w:rFonts w:hint="eastAsia"/>
            </w:rPr>
            <w:instrText xml:space="preserve"> </w:instrText>
          </w:r>
          <w:r>
            <w:instrText xml:space="preserve">PAGEREF _Toc198652092 \h</w:instrText>
          </w:r>
          <w:r>
            <w:rPr>
              <w:rFonts w:hint="eastAsia"/>
            </w:rPr>
            <w:instrText xml:space="preserve"> </w:instrText>
          </w:r>
          <w:r>
            <w:rPr>
              <w:rFonts w:hint="eastAsia"/>
            </w:rPr>
            <w:fldChar w:fldCharType="separate"/>
          </w:r>
          <w:r>
            <w:t>98</w:t>
          </w:r>
          <w:r>
            <w:rPr>
              <w:rFonts w:hint="eastAsia"/>
            </w:rPr>
            <w:fldChar w:fldCharType="end"/>
          </w:r>
          <w:r>
            <w:rPr>
              <w:rFonts w:hint="eastAsia"/>
            </w:rPr>
            <w:fldChar w:fldCharType="end"/>
          </w:r>
        </w:p>
        <w:p w14:paraId="4B0BC61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"_Toc198652093" </w:instrText>
          </w:r>
          <w:r>
            <w:fldChar w:fldCharType="separate"/>
          </w:r>
          <w:r>
            <w:rPr>
              <w:rStyle w:val="22"/>
              <w:rFonts w:hint="eastAsia" w:eastAsia="黑体" w:cs="Times New Roman"/>
              <w:kern w:val="0"/>
            </w:rPr>
            <w:t>6.5.2污染源控制与治理目标</w:t>
          </w:r>
          <w:r>
            <w:rPr>
              <w:rFonts w:hint="eastAsia"/>
            </w:rPr>
            <w:tab/>
          </w:r>
          <w:r>
            <w:rPr>
              <w:rFonts w:hint="eastAsia"/>
            </w:rPr>
            <w:fldChar w:fldCharType="begin"/>
          </w:r>
          <w:r>
            <w:rPr>
              <w:rFonts w:hint="eastAsia"/>
            </w:rPr>
            <w:instrText xml:space="preserve"> </w:instrText>
          </w:r>
          <w:r>
            <w:instrText xml:space="preserve">PAGEREF _Toc198652093 \h</w:instrText>
          </w:r>
          <w:r>
            <w:rPr>
              <w:rFonts w:hint="eastAsia"/>
            </w:rPr>
            <w:instrText xml:space="preserve"> </w:instrText>
          </w:r>
          <w:r>
            <w:rPr>
              <w:rFonts w:hint="eastAsia"/>
            </w:rPr>
            <w:fldChar w:fldCharType="separate"/>
          </w:r>
          <w:r>
            <w:t>101</w:t>
          </w:r>
          <w:r>
            <w:rPr>
              <w:rFonts w:hint="eastAsia"/>
            </w:rPr>
            <w:fldChar w:fldCharType="end"/>
          </w:r>
          <w:r>
            <w:rPr>
              <w:rFonts w:hint="eastAsia"/>
            </w:rPr>
            <w:fldChar w:fldCharType="end"/>
          </w:r>
        </w:p>
        <w:p w14:paraId="1DBB47A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"_Toc198652094" </w:instrText>
          </w:r>
          <w:r>
            <w:fldChar w:fldCharType="separate"/>
          </w:r>
          <w:r>
            <w:rPr>
              <w:rStyle w:val="22"/>
              <w:rFonts w:hint="eastAsia" w:eastAsia="黑体" w:cs="Times New Roman"/>
              <w:kern w:val="0"/>
            </w:rPr>
            <w:t>6.5.3水源保护措施</w:t>
          </w:r>
          <w:r>
            <w:rPr>
              <w:rFonts w:hint="eastAsia"/>
            </w:rPr>
            <w:tab/>
          </w:r>
          <w:r>
            <w:rPr>
              <w:rFonts w:hint="eastAsia"/>
            </w:rPr>
            <w:fldChar w:fldCharType="begin"/>
          </w:r>
          <w:r>
            <w:rPr>
              <w:rFonts w:hint="eastAsia"/>
            </w:rPr>
            <w:instrText xml:space="preserve"> </w:instrText>
          </w:r>
          <w:r>
            <w:instrText xml:space="preserve">PAGEREF _Toc198652094 \h</w:instrText>
          </w:r>
          <w:r>
            <w:rPr>
              <w:rFonts w:hint="eastAsia"/>
            </w:rPr>
            <w:instrText xml:space="preserve"> </w:instrText>
          </w:r>
          <w:r>
            <w:rPr>
              <w:rFonts w:hint="eastAsia"/>
            </w:rPr>
            <w:fldChar w:fldCharType="separate"/>
          </w:r>
          <w:r>
            <w:t>102</w:t>
          </w:r>
          <w:r>
            <w:rPr>
              <w:rFonts w:hint="eastAsia"/>
            </w:rPr>
            <w:fldChar w:fldCharType="end"/>
          </w:r>
          <w:r>
            <w:rPr>
              <w:rFonts w:hint="eastAsia"/>
            </w:rPr>
            <w:fldChar w:fldCharType="end"/>
          </w:r>
        </w:p>
        <w:p w14:paraId="34B9CA8F">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"_Toc198652095" </w:instrText>
          </w:r>
          <w:r>
            <w:fldChar w:fldCharType="separate"/>
          </w:r>
          <w:r>
            <w:rPr>
              <w:rStyle w:val="22"/>
              <w:rFonts w:hint="eastAsia" w:eastAsia="黑体" w:cs="Times New Roman"/>
              <w:kern w:val="0"/>
            </w:rPr>
            <w:t>6.6共建活水富民网</w:t>
          </w:r>
          <w:r>
            <w:rPr>
              <w:rFonts w:hint="eastAsia"/>
            </w:rPr>
            <w:tab/>
          </w:r>
          <w:r>
            <w:rPr>
              <w:rFonts w:hint="eastAsia"/>
            </w:rPr>
            <w:fldChar w:fldCharType="begin"/>
          </w:r>
          <w:r>
            <w:rPr>
              <w:rFonts w:hint="eastAsia"/>
            </w:rPr>
            <w:instrText xml:space="preserve"> </w:instrText>
          </w:r>
          <w:r>
            <w:instrText xml:space="preserve">PAGEREF _Toc198652095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569C9C7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"_Toc198652096" </w:instrText>
          </w:r>
          <w:r>
            <w:fldChar w:fldCharType="separate"/>
          </w:r>
          <w:r>
            <w:rPr>
              <w:rStyle w:val="22"/>
              <w:rFonts w:hint="eastAsia" w:eastAsia="黑体" w:cs="Times New Roman"/>
              <w:kern w:val="0"/>
            </w:rPr>
            <w:t>6.6.1基本思路</w:t>
          </w:r>
          <w:r>
            <w:rPr>
              <w:rFonts w:hint="eastAsia"/>
            </w:rPr>
            <w:tab/>
          </w:r>
          <w:r>
            <w:rPr>
              <w:rFonts w:hint="eastAsia"/>
            </w:rPr>
            <w:fldChar w:fldCharType="begin"/>
          </w:r>
          <w:r>
            <w:rPr>
              <w:rFonts w:hint="eastAsia"/>
            </w:rPr>
            <w:instrText xml:space="preserve"> </w:instrText>
          </w:r>
          <w:r>
            <w:instrText xml:space="preserve">PAGEREF _Toc198652096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512AD31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"_Toc198652097" </w:instrText>
          </w:r>
          <w:r>
            <w:fldChar w:fldCharType="separate"/>
          </w:r>
          <w:r>
            <w:rPr>
              <w:rStyle w:val="22"/>
              <w:rFonts w:hint="eastAsia" w:eastAsia="黑体" w:cs="Times New Roman"/>
              <w:kern w:val="0"/>
            </w:rPr>
            <w:t>6.6.2建设九原区特色水文化旅游</w:t>
          </w:r>
          <w:r>
            <w:rPr>
              <w:rFonts w:hint="eastAsia"/>
            </w:rPr>
            <w:tab/>
          </w:r>
          <w:r>
            <w:rPr>
              <w:rFonts w:hint="eastAsia"/>
            </w:rPr>
            <w:fldChar w:fldCharType="begin"/>
          </w:r>
          <w:r>
            <w:rPr>
              <w:rFonts w:hint="eastAsia"/>
            </w:rPr>
            <w:instrText xml:space="preserve"> </w:instrText>
          </w:r>
          <w:r>
            <w:instrText xml:space="preserve">PAGEREF _Toc198652097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72F05DE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"_Toc198652098" </w:instrText>
          </w:r>
          <w:r>
            <w:fldChar w:fldCharType="separate"/>
          </w:r>
          <w:r>
            <w:rPr>
              <w:rStyle w:val="22"/>
              <w:rFonts w:hint="eastAsia" w:eastAsia="黑体" w:cs="Times New Roman"/>
              <w:kern w:val="0"/>
            </w:rPr>
            <w:t>6.6.3培育优质水生态产品惠及百姓</w:t>
          </w:r>
          <w:r>
            <w:rPr>
              <w:rFonts w:hint="eastAsia"/>
            </w:rPr>
            <w:tab/>
          </w:r>
          <w:r>
            <w:rPr>
              <w:rFonts w:hint="eastAsia"/>
            </w:rPr>
            <w:fldChar w:fldCharType="begin"/>
          </w:r>
          <w:r>
            <w:rPr>
              <w:rFonts w:hint="eastAsia"/>
            </w:rPr>
            <w:instrText xml:space="preserve"> </w:instrText>
          </w:r>
          <w:r>
            <w:instrText xml:space="preserve">PAGEREF _Toc198652098 \h</w:instrText>
          </w:r>
          <w:r>
            <w:rPr>
              <w:rFonts w:hint="eastAsia"/>
            </w:rPr>
            <w:instrText xml:space="preserve"> </w:instrText>
          </w:r>
          <w:r>
            <w:rPr>
              <w:rFonts w:hint="eastAsia"/>
            </w:rPr>
            <w:fldChar w:fldCharType="separate"/>
          </w:r>
          <w:r>
            <w:t>105</w:t>
          </w:r>
          <w:r>
            <w:rPr>
              <w:rFonts w:hint="eastAsia"/>
            </w:rPr>
            <w:fldChar w:fldCharType="end"/>
          </w:r>
          <w:r>
            <w:rPr>
              <w:rFonts w:hint="eastAsia"/>
            </w:rPr>
            <w:fldChar w:fldCharType="end"/>
          </w:r>
        </w:p>
        <w:p w14:paraId="0A509875">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"_Toc198652099" </w:instrText>
          </w:r>
          <w:r>
            <w:fldChar w:fldCharType="separate"/>
          </w:r>
          <w:r>
            <w:rPr>
              <w:rStyle w:val="22"/>
              <w:rFonts w:hint="eastAsia" w:eastAsia="黑体" w:cs="Times New Roman"/>
              <w:kern w:val="0"/>
            </w:rPr>
            <w:t>6.6.4发展农村涉水综合体推动水农旅融合</w:t>
          </w:r>
          <w:r>
            <w:rPr>
              <w:rFonts w:hint="eastAsia"/>
            </w:rPr>
            <w:tab/>
          </w:r>
          <w:r>
            <w:rPr>
              <w:rFonts w:hint="eastAsia"/>
            </w:rPr>
            <w:fldChar w:fldCharType="begin"/>
          </w:r>
          <w:r>
            <w:rPr>
              <w:rFonts w:hint="eastAsia"/>
            </w:rPr>
            <w:instrText xml:space="preserve"> </w:instrText>
          </w:r>
          <w:r>
            <w:instrText xml:space="preserve">PAGEREF _Toc198652099 \h</w:instrText>
          </w:r>
          <w:r>
            <w:rPr>
              <w:rFonts w:hint="eastAsia"/>
            </w:rPr>
            <w:instrText xml:space="preserve"> </w:instrText>
          </w:r>
          <w:r>
            <w:rPr>
              <w:rFonts w:hint="eastAsia"/>
            </w:rPr>
            <w:fldChar w:fldCharType="separate"/>
          </w:r>
          <w:r>
            <w:t>106</w:t>
          </w:r>
          <w:r>
            <w:rPr>
              <w:rFonts w:hint="eastAsia"/>
            </w:rPr>
            <w:fldChar w:fldCharType="end"/>
          </w:r>
          <w:r>
            <w:rPr>
              <w:rFonts w:hint="eastAsia"/>
            </w:rPr>
            <w:fldChar w:fldCharType="end"/>
          </w:r>
        </w:p>
        <w:p w14:paraId="50F57314">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"_Toc198652100" </w:instrText>
          </w:r>
          <w:r>
            <w:fldChar w:fldCharType="separate"/>
          </w:r>
          <w:r>
            <w:rPr>
              <w:rStyle w:val="22"/>
              <w:rFonts w:hint="eastAsia" w:eastAsia="黑体" w:cs="Times New Roman"/>
            </w:rPr>
            <w:t>7打造智慧管理水网体系</w:t>
          </w:r>
          <w:r>
            <w:rPr>
              <w:rFonts w:hint="eastAsia"/>
            </w:rPr>
            <w:tab/>
          </w:r>
          <w:r>
            <w:rPr>
              <w:rFonts w:hint="eastAsia"/>
            </w:rPr>
            <w:fldChar w:fldCharType="begin"/>
          </w:r>
          <w:r>
            <w:rPr>
              <w:rFonts w:hint="eastAsia"/>
            </w:rPr>
            <w:instrText xml:space="preserve"> </w:instrText>
          </w:r>
          <w:r>
            <w:instrText xml:space="preserve">PAGEREF _Toc198652100 \h</w:instrText>
          </w:r>
          <w:r>
            <w:rPr>
              <w:rFonts w:hint="eastAsia"/>
            </w:rPr>
            <w:instrText xml:space="preserve"> </w:instrText>
          </w:r>
          <w:r>
            <w:rPr>
              <w:rFonts w:hint="eastAsia"/>
            </w:rPr>
            <w:fldChar w:fldCharType="separate"/>
          </w:r>
          <w:r>
            <w:t>107</w:t>
          </w:r>
          <w:r>
            <w:rPr>
              <w:rFonts w:hint="eastAsia"/>
            </w:rPr>
            <w:fldChar w:fldCharType="end"/>
          </w:r>
          <w:r>
            <w:rPr>
              <w:rFonts w:hint="eastAsia"/>
            </w:rPr>
            <w:fldChar w:fldCharType="end"/>
          </w:r>
        </w:p>
        <w:p w14:paraId="734CB768">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"_Toc198652101" </w:instrText>
          </w:r>
          <w:r>
            <w:fldChar w:fldCharType="separate"/>
          </w:r>
          <w:r>
            <w:rPr>
              <w:rStyle w:val="22"/>
              <w:rFonts w:hint="eastAsia" w:eastAsia="黑体" w:cs="Times New Roman"/>
              <w:kern w:val="0"/>
            </w:rPr>
            <w:t>7.1水文水资源和水土保持监测能力建设规划</w:t>
          </w:r>
          <w:r>
            <w:rPr>
              <w:rFonts w:hint="eastAsia"/>
            </w:rPr>
            <w:tab/>
          </w:r>
          <w:r>
            <w:rPr>
              <w:rFonts w:hint="eastAsia"/>
            </w:rPr>
            <w:fldChar w:fldCharType="begin"/>
          </w:r>
          <w:r>
            <w:rPr>
              <w:rFonts w:hint="eastAsia"/>
            </w:rPr>
            <w:instrText xml:space="preserve"> </w:instrText>
          </w:r>
          <w:r>
            <w:instrText xml:space="preserve">PAGEREF _Toc198652101 \h</w:instrText>
          </w:r>
          <w:r>
            <w:rPr>
              <w:rFonts w:hint="eastAsia"/>
            </w:rPr>
            <w:instrText xml:space="preserve"> </w:instrText>
          </w:r>
          <w:r>
            <w:rPr>
              <w:rFonts w:hint="eastAsia"/>
            </w:rPr>
            <w:fldChar w:fldCharType="separate"/>
          </w:r>
          <w:r>
            <w:t>107</w:t>
          </w:r>
          <w:r>
            <w:rPr>
              <w:rFonts w:hint="eastAsia"/>
            </w:rPr>
            <w:fldChar w:fldCharType="end"/>
          </w:r>
          <w:r>
            <w:rPr>
              <w:rFonts w:hint="eastAsia"/>
            </w:rPr>
            <w:fldChar w:fldCharType="end"/>
          </w:r>
        </w:p>
        <w:p w14:paraId="6124F54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"_Toc198652102" </w:instrText>
          </w:r>
          <w:r>
            <w:fldChar w:fldCharType="separate"/>
          </w:r>
          <w:r>
            <w:rPr>
              <w:rStyle w:val="22"/>
              <w:rFonts w:hint="eastAsia" w:eastAsia="黑体" w:cs="Times New Roman"/>
              <w:kern w:val="0"/>
            </w:rPr>
            <w:t>7.1.1水文与水利信息化发展现状</w:t>
          </w:r>
          <w:r>
            <w:rPr>
              <w:rFonts w:hint="eastAsia"/>
            </w:rPr>
            <w:tab/>
          </w:r>
          <w:r>
            <w:rPr>
              <w:rFonts w:hint="eastAsia"/>
            </w:rPr>
            <w:fldChar w:fldCharType="begin"/>
          </w:r>
          <w:r>
            <w:rPr>
              <w:rFonts w:hint="eastAsia"/>
            </w:rPr>
            <w:instrText xml:space="preserve"> </w:instrText>
          </w:r>
          <w:r>
            <w:instrText xml:space="preserve">PAGEREF _Toc198652102 \h</w:instrText>
          </w:r>
          <w:r>
            <w:rPr>
              <w:rFonts w:hint="eastAsia"/>
            </w:rPr>
            <w:instrText xml:space="preserve"> </w:instrText>
          </w:r>
          <w:r>
            <w:rPr>
              <w:rFonts w:hint="eastAsia"/>
            </w:rPr>
            <w:fldChar w:fldCharType="separate"/>
          </w:r>
          <w:r>
            <w:t>107</w:t>
          </w:r>
          <w:r>
            <w:rPr>
              <w:rFonts w:hint="eastAsia"/>
            </w:rPr>
            <w:fldChar w:fldCharType="end"/>
          </w:r>
          <w:r>
            <w:rPr>
              <w:rFonts w:hint="eastAsia"/>
            </w:rPr>
            <w:fldChar w:fldCharType="end"/>
          </w:r>
        </w:p>
        <w:p w14:paraId="61E1D52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"_Toc198652103" </w:instrText>
          </w:r>
          <w:r>
            <w:fldChar w:fldCharType="separate"/>
          </w:r>
          <w:r>
            <w:rPr>
              <w:rStyle w:val="22"/>
              <w:rFonts w:hint="eastAsia" w:eastAsia="黑体" w:cs="Times New Roman"/>
              <w:kern w:val="0"/>
            </w:rPr>
            <w:t>7.1.2可持续发展对水文与水利信息化发展的需求</w:t>
          </w:r>
          <w:r>
            <w:rPr>
              <w:rFonts w:hint="eastAsia"/>
            </w:rPr>
            <w:tab/>
          </w:r>
          <w:r>
            <w:rPr>
              <w:rFonts w:hint="eastAsia"/>
            </w:rPr>
            <w:fldChar w:fldCharType="begin"/>
          </w:r>
          <w:r>
            <w:rPr>
              <w:rFonts w:hint="eastAsia"/>
            </w:rPr>
            <w:instrText xml:space="preserve"> </w:instrText>
          </w:r>
          <w:r>
            <w:instrText xml:space="preserve">PAGEREF _Toc198652103 \h</w:instrText>
          </w:r>
          <w:r>
            <w:rPr>
              <w:rFonts w:hint="eastAsia"/>
            </w:rPr>
            <w:instrText xml:space="preserve"> </w:instrText>
          </w:r>
          <w:r>
            <w:rPr>
              <w:rFonts w:hint="eastAsia"/>
            </w:rPr>
            <w:fldChar w:fldCharType="separate"/>
          </w:r>
          <w:r>
            <w:t>107</w:t>
          </w:r>
          <w:r>
            <w:rPr>
              <w:rFonts w:hint="eastAsia"/>
            </w:rPr>
            <w:fldChar w:fldCharType="end"/>
          </w:r>
          <w:r>
            <w:rPr>
              <w:rFonts w:hint="eastAsia"/>
            </w:rPr>
            <w:fldChar w:fldCharType="end"/>
          </w:r>
        </w:p>
        <w:p w14:paraId="2FBAC30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"_Toc198652104" </w:instrText>
          </w:r>
          <w:r>
            <w:fldChar w:fldCharType="separate"/>
          </w:r>
          <w:r>
            <w:rPr>
              <w:rStyle w:val="22"/>
              <w:rFonts w:hint="eastAsia" w:eastAsia="黑体" w:cs="Times New Roman"/>
              <w:kern w:val="0"/>
            </w:rPr>
            <w:t>7.1.3水文与水利信息化规划总体布局和主要建设内容</w:t>
          </w:r>
          <w:r>
            <w:rPr>
              <w:rFonts w:hint="eastAsia"/>
            </w:rPr>
            <w:tab/>
          </w:r>
          <w:r>
            <w:rPr>
              <w:rFonts w:hint="eastAsia"/>
            </w:rPr>
            <w:fldChar w:fldCharType="begin"/>
          </w:r>
          <w:r>
            <w:rPr>
              <w:rFonts w:hint="eastAsia"/>
            </w:rPr>
            <w:instrText xml:space="preserve"> </w:instrText>
          </w:r>
          <w:r>
            <w:instrText xml:space="preserve">PAGEREF _Toc198652104 \h</w:instrText>
          </w:r>
          <w:r>
            <w:rPr>
              <w:rFonts w:hint="eastAsia"/>
            </w:rPr>
            <w:instrText xml:space="preserve"> </w:instrText>
          </w:r>
          <w:r>
            <w:rPr>
              <w:rFonts w:hint="eastAsia"/>
            </w:rPr>
            <w:fldChar w:fldCharType="separate"/>
          </w:r>
          <w:r>
            <w:t>107</w:t>
          </w:r>
          <w:r>
            <w:rPr>
              <w:rFonts w:hint="eastAsia"/>
            </w:rPr>
            <w:fldChar w:fldCharType="end"/>
          </w:r>
          <w:r>
            <w:rPr>
              <w:rFonts w:hint="eastAsia"/>
            </w:rPr>
            <w:fldChar w:fldCharType="end"/>
          </w:r>
        </w:p>
        <w:p w14:paraId="2AD9EF6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"_Toc198652105" </w:instrText>
          </w:r>
          <w:r>
            <w:fldChar w:fldCharType="separate"/>
          </w:r>
          <w:r>
            <w:rPr>
              <w:rStyle w:val="22"/>
              <w:rFonts w:hint="eastAsia" w:eastAsia="黑体" w:cs="Times New Roman"/>
              <w:kern w:val="0"/>
            </w:rPr>
            <w:t>7.2人才队伍建设和科技创新规划</w:t>
          </w:r>
          <w:r>
            <w:rPr>
              <w:rFonts w:hint="eastAsia"/>
            </w:rPr>
            <w:tab/>
          </w:r>
          <w:r>
            <w:rPr>
              <w:rFonts w:hint="eastAsia"/>
            </w:rPr>
            <w:fldChar w:fldCharType="begin"/>
          </w:r>
          <w:r>
            <w:rPr>
              <w:rFonts w:hint="eastAsia"/>
            </w:rPr>
            <w:instrText xml:space="preserve"> </w:instrText>
          </w:r>
          <w:r>
            <w:instrText xml:space="preserve">PAGEREF _Toc198652105 \h</w:instrText>
          </w:r>
          <w:r>
            <w:rPr>
              <w:rFonts w:hint="eastAsia"/>
            </w:rPr>
            <w:instrText xml:space="preserve"> </w:instrText>
          </w:r>
          <w:r>
            <w:rPr>
              <w:rFonts w:hint="eastAsia"/>
            </w:rPr>
            <w:fldChar w:fldCharType="separate"/>
          </w:r>
          <w:r>
            <w:t>110</w:t>
          </w:r>
          <w:r>
            <w:rPr>
              <w:rFonts w:hint="eastAsia"/>
            </w:rPr>
            <w:fldChar w:fldCharType="end"/>
          </w:r>
          <w:r>
            <w:rPr>
              <w:rFonts w:hint="eastAsia"/>
            </w:rPr>
            <w:fldChar w:fldCharType="end"/>
          </w:r>
        </w:p>
        <w:p w14:paraId="05C19A1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"_Toc198652106" </w:instrText>
          </w:r>
          <w:r>
            <w:fldChar w:fldCharType="separate"/>
          </w:r>
          <w:r>
            <w:rPr>
              <w:rStyle w:val="22"/>
              <w:rFonts w:hint="eastAsia" w:eastAsia="黑体" w:cs="Times New Roman"/>
              <w:kern w:val="0"/>
            </w:rPr>
            <w:t>7.2.1人才队伍和科技创新现状</w:t>
          </w:r>
          <w:r>
            <w:rPr>
              <w:rFonts w:hint="eastAsia"/>
            </w:rPr>
            <w:tab/>
          </w:r>
          <w:r>
            <w:rPr>
              <w:rFonts w:hint="eastAsia"/>
            </w:rPr>
            <w:fldChar w:fldCharType="begin"/>
          </w:r>
          <w:r>
            <w:rPr>
              <w:rFonts w:hint="eastAsia"/>
            </w:rPr>
            <w:instrText xml:space="preserve"> </w:instrText>
          </w:r>
          <w:r>
            <w:instrText xml:space="preserve">PAGEREF _Toc198652106 \h</w:instrText>
          </w:r>
          <w:r>
            <w:rPr>
              <w:rFonts w:hint="eastAsia"/>
            </w:rPr>
            <w:instrText xml:space="preserve"> </w:instrText>
          </w:r>
          <w:r>
            <w:rPr>
              <w:rFonts w:hint="eastAsia"/>
            </w:rPr>
            <w:fldChar w:fldCharType="separate"/>
          </w:r>
          <w:r>
            <w:t>110</w:t>
          </w:r>
          <w:r>
            <w:rPr>
              <w:rFonts w:hint="eastAsia"/>
            </w:rPr>
            <w:fldChar w:fldCharType="end"/>
          </w:r>
          <w:r>
            <w:rPr>
              <w:rFonts w:hint="eastAsia"/>
            </w:rPr>
            <w:fldChar w:fldCharType="end"/>
          </w:r>
        </w:p>
        <w:p w14:paraId="6F41E249">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"_Toc198652107" </w:instrText>
          </w:r>
          <w:r>
            <w:fldChar w:fldCharType="separate"/>
          </w:r>
          <w:r>
            <w:rPr>
              <w:rStyle w:val="22"/>
              <w:rFonts w:hint="eastAsia" w:eastAsia="黑体" w:cs="Times New Roman"/>
              <w:kern w:val="0"/>
            </w:rPr>
            <w:t>7.2.2可持续发展对人才队伍和科技创新的需求</w:t>
          </w:r>
          <w:r>
            <w:rPr>
              <w:rFonts w:hint="eastAsia"/>
            </w:rPr>
            <w:tab/>
          </w:r>
          <w:r>
            <w:rPr>
              <w:rFonts w:hint="eastAsia"/>
            </w:rPr>
            <w:fldChar w:fldCharType="begin"/>
          </w:r>
          <w:r>
            <w:rPr>
              <w:rFonts w:hint="eastAsia"/>
            </w:rPr>
            <w:instrText xml:space="preserve"> </w:instrText>
          </w:r>
          <w:r>
            <w:instrText xml:space="preserve">PAGEREF _Toc198652107 \h</w:instrText>
          </w:r>
          <w:r>
            <w:rPr>
              <w:rFonts w:hint="eastAsia"/>
            </w:rPr>
            <w:instrText xml:space="preserve"> </w:instrText>
          </w:r>
          <w:r>
            <w:rPr>
              <w:rFonts w:hint="eastAsia"/>
            </w:rPr>
            <w:fldChar w:fldCharType="separate"/>
          </w:r>
          <w:r>
            <w:t>110</w:t>
          </w:r>
          <w:r>
            <w:rPr>
              <w:rFonts w:hint="eastAsia"/>
            </w:rPr>
            <w:fldChar w:fldCharType="end"/>
          </w:r>
          <w:r>
            <w:rPr>
              <w:rFonts w:hint="eastAsia"/>
            </w:rPr>
            <w:fldChar w:fldCharType="end"/>
          </w:r>
        </w:p>
        <w:p w14:paraId="4D92FA9D">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"_Toc198652108" </w:instrText>
          </w:r>
          <w:r>
            <w:fldChar w:fldCharType="separate"/>
          </w:r>
          <w:r>
            <w:rPr>
              <w:rStyle w:val="22"/>
              <w:rFonts w:hint="eastAsia" w:eastAsia="黑体" w:cs="Times New Roman"/>
              <w:kern w:val="0"/>
            </w:rPr>
            <w:t>7.2.3人才队伍和科技创新规划总体布局和主要建设内容</w:t>
          </w:r>
          <w:r>
            <w:rPr>
              <w:rFonts w:hint="eastAsia"/>
            </w:rPr>
            <w:tab/>
          </w:r>
          <w:r>
            <w:rPr>
              <w:rFonts w:hint="eastAsia"/>
            </w:rPr>
            <w:fldChar w:fldCharType="begin"/>
          </w:r>
          <w:r>
            <w:rPr>
              <w:rFonts w:hint="eastAsia"/>
            </w:rPr>
            <w:instrText xml:space="preserve"> </w:instrText>
          </w:r>
          <w:r>
            <w:instrText xml:space="preserve">PAGEREF _Toc198652108 \h</w:instrText>
          </w:r>
          <w:r>
            <w:rPr>
              <w:rFonts w:hint="eastAsia"/>
            </w:rPr>
            <w:instrText xml:space="preserve"> </w:instrText>
          </w:r>
          <w:r>
            <w:rPr>
              <w:rFonts w:hint="eastAsia"/>
            </w:rPr>
            <w:fldChar w:fldCharType="separate"/>
          </w:r>
          <w:r>
            <w:t>110</w:t>
          </w:r>
          <w:r>
            <w:rPr>
              <w:rFonts w:hint="eastAsia"/>
            </w:rPr>
            <w:fldChar w:fldCharType="end"/>
          </w:r>
          <w:r>
            <w:rPr>
              <w:rFonts w:hint="eastAsia"/>
            </w:rPr>
            <w:fldChar w:fldCharType="end"/>
          </w:r>
        </w:p>
        <w:p w14:paraId="1AA528B0">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"_Toc198652109" </w:instrText>
          </w:r>
          <w:r>
            <w:fldChar w:fldCharType="separate"/>
          </w:r>
          <w:r>
            <w:rPr>
              <w:rStyle w:val="22"/>
              <w:rFonts w:hint="eastAsia" w:eastAsia="黑体" w:cs="Times New Roman"/>
            </w:rPr>
            <w:t>8推动水网高质量发展</w:t>
          </w:r>
          <w:r>
            <w:rPr>
              <w:rFonts w:hint="eastAsia"/>
            </w:rPr>
            <w:tab/>
          </w:r>
          <w:r>
            <w:rPr>
              <w:rFonts w:hint="eastAsia"/>
            </w:rPr>
            <w:fldChar w:fldCharType="begin"/>
          </w:r>
          <w:r>
            <w:rPr>
              <w:rFonts w:hint="eastAsia"/>
            </w:rPr>
            <w:instrText xml:space="preserve"> </w:instrText>
          </w:r>
          <w:r>
            <w:instrText xml:space="preserve">PAGEREF _Toc198652109 \h</w:instrText>
          </w:r>
          <w:r>
            <w:rPr>
              <w:rFonts w:hint="eastAsia"/>
            </w:rPr>
            <w:instrText xml:space="preserve"> </w:instrText>
          </w:r>
          <w:r>
            <w:rPr>
              <w:rFonts w:hint="eastAsia"/>
            </w:rPr>
            <w:fldChar w:fldCharType="separate"/>
          </w:r>
          <w:r>
            <w:t>111</w:t>
          </w:r>
          <w:r>
            <w:rPr>
              <w:rFonts w:hint="eastAsia"/>
            </w:rPr>
            <w:fldChar w:fldCharType="end"/>
          </w:r>
          <w:r>
            <w:rPr>
              <w:rFonts w:hint="eastAsia"/>
            </w:rPr>
            <w:fldChar w:fldCharType="end"/>
          </w:r>
        </w:p>
        <w:p w14:paraId="4D169EA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"_Toc198652110" </w:instrText>
          </w:r>
          <w:r>
            <w:fldChar w:fldCharType="separate"/>
          </w:r>
          <w:r>
            <w:rPr>
              <w:rStyle w:val="22"/>
              <w:rFonts w:hint="eastAsia" w:eastAsia="黑体" w:cs="Times New Roman"/>
              <w:kern w:val="0"/>
            </w:rPr>
            <w:t>8.1加强水网政策法规建设</w:t>
          </w:r>
          <w:r>
            <w:rPr>
              <w:rFonts w:hint="eastAsia"/>
            </w:rPr>
            <w:tab/>
          </w:r>
          <w:r>
            <w:rPr>
              <w:rFonts w:hint="eastAsia"/>
            </w:rPr>
            <w:fldChar w:fldCharType="begin"/>
          </w:r>
          <w:r>
            <w:rPr>
              <w:rFonts w:hint="eastAsia"/>
            </w:rPr>
            <w:instrText xml:space="preserve"> </w:instrText>
          </w:r>
          <w:r>
            <w:instrText xml:space="preserve">PAGEREF _Toc198652110 \h</w:instrText>
          </w:r>
          <w:r>
            <w:rPr>
              <w:rFonts w:hint="eastAsia"/>
            </w:rPr>
            <w:instrText xml:space="preserve"> </w:instrText>
          </w:r>
          <w:r>
            <w:rPr>
              <w:rFonts w:hint="eastAsia"/>
            </w:rPr>
            <w:fldChar w:fldCharType="separate"/>
          </w:r>
          <w:r>
            <w:t>111</w:t>
          </w:r>
          <w:r>
            <w:rPr>
              <w:rFonts w:hint="eastAsia"/>
            </w:rPr>
            <w:fldChar w:fldCharType="end"/>
          </w:r>
          <w:r>
            <w:rPr>
              <w:rFonts w:hint="eastAsia"/>
            </w:rPr>
            <w:fldChar w:fldCharType="end"/>
          </w:r>
        </w:p>
        <w:p w14:paraId="77D09D9E">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"_Toc198652111" </w:instrText>
          </w:r>
          <w:r>
            <w:fldChar w:fldCharType="separate"/>
          </w:r>
          <w:r>
            <w:rPr>
              <w:rStyle w:val="22"/>
              <w:rFonts w:hint="eastAsia" w:eastAsia="黑体" w:cs="Times New Roman"/>
              <w:kern w:val="0"/>
            </w:rPr>
            <w:t>8.2完善水网建设管理制度</w:t>
          </w:r>
          <w:r>
            <w:rPr>
              <w:rFonts w:hint="eastAsia"/>
            </w:rPr>
            <w:tab/>
          </w:r>
          <w:r>
            <w:rPr>
              <w:rFonts w:hint="eastAsia"/>
            </w:rPr>
            <w:fldChar w:fldCharType="begin"/>
          </w:r>
          <w:r>
            <w:rPr>
              <w:rFonts w:hint="eastAsia"/>
            </w:rPr>
            <w:instrText xml:space="preserve"> </w:instrText>
          </w:r>
          <w:r>
            <w:instrText xml:space="preserve">PAGEREF _Toc198652111 \h</w:instrText>
          </w:r>
          <w:r>
            <w:rPr>
              <w:rFonts w:hint="eastAsia"/>
            </w:rPr>
            <w:instrText xml:space="preserve"> </w:instrText>
          </w:r>
          <w:r>
            <w:rPr>
              <w:rFonts w:hint="eastAsia"/>
            </w:rPr>
            <w:fldChar w:fldCharType="separate"/>
          </w:r>
          <w:r>
            <w:t>112</w:t>
          </w:r>
          <w:r>
            <w:rPr>
              <w:rFonts w:hint="eastAsia"/>
            </w:rPr>
            <w:fldChar w:fldCharType="end"/>
          </w:r>
          <w:r>
            <w:rPr>
              <w:rFonts w:hint="eastAsia"/>
            </w:rPr>
            <w:fldChar w:fldCharType="end"/>
          </w:r>
        </w:p>
        <w:p w14:paraId="193B9E6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"_Toc198652112" </w:instrText>
          </w:r>
          <w:r>
            <w:fldChar w:fldCharType="separate"/>
          </w:r>
          <w:r>
            <w:rPr>
              <w:rStyle w:val="22"/>
              <w:rFonts w:hint="eastAsia" w:eastAsia="黑体" w:cs="Times New Roman"/>
              <w:kern w:val="0"/>
            </w:rPr>
            <w:t>8.3创新水网工程良性运行机制</w:t>
          </w:r>
          <w:r>
            <w:rPr>
              <w:rFonts w:hint="eastAsia"/>
            </w:rPr>
            <w:tab/>
          </w:r>
          <w:r>
            <w:rPr>
              <w:rFonts w:hint="eastAsia"/>
            </w:rPr>
            <w:fldChar w:fldCharType="begin"/>
          </w:r>
          <w:r>
            <w:rPr>
              <w:rFonts w:hint="eastAsia"/>
            </w:rPr>
            <w:instrText xml:space="preserve"> </w:instrText>
          </w:r>
          <w:r>
            <w:instrText xml:space="preserve">PAGEREF _Toc198652112 \h</w:instrText>
          </w:r>
          <w:r>
            <w:rPr>
              <w:rFonts w:hint="eastAsia"/>
            </w:rPr>
            <w:instrText xml:space="preserve"> </w:instrText>
          </w:r>
          <w:r>
            <w:rPr>
              <w:rFonts w:hint="eastAsia"/>
            </w:rPr>
            <w:fldChar w:fldCharType="separate"/>
          </w:r>
          <w:r>
            <w:t>113</w:t>
          </w:r>
          <w:r>
            <w:rPr>
              <w:rFonts w:hint="eastAsia"/>
            </w:rPr>
            <w:fldChar w:fldCharType="end"/>
          </w:r>
          <w:r>
            <w:rPr>
              <w:rFonts w:hint="eastAsia"/>
            </w:rPr>
            <w:fldChar w:fldCharType="end"/>
          </w:r>
        </w:p>
        <w:p w14:paraId="1F388D64">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"_Toc198652113" </w:instrText>
          </w:r>
          <w:r>
            <w:fldChar w:fldCharType="separate"/>
          </w:r>
          <w:r>
            <w:rPr>
              <w:rStyle w:val="22"/>
              <w:rFonts w:hint="eastAsia" w:eastAsia="黑体" w:cs="Times New Roman"/>
              <w:kern w:val="0"/>
            </w:rPr>
            <w:t>8.4拓宽多元化投融资渠道</w:t>
          </w:r>
          <w:r>
            <w:rPr>
              <w:rFonts w:hint="eastAsia"/>
            </w:rPr>
            <w:tab/>
          </w:r>
          <w:r>
            <w:rPr>
              <w:rFonts w:hint="eastAsia"/>
            </w:rPr>
            <w:fldChar w:fldCharType="begin"/>
          </w:r>
          <w:r>
            <w:rPr>
              <w:rFonts w:hint="eastAsia"/>
            </w:rPr>
            <w:instrText xml:space="preserve"> </w:instrText>
          </w:r>
          <w:r>
            <w:instrText xml:space="preserve">PAGEREF _Toc198652113 \h</w:instrText>
          </w:r>
          <w:r>
            <w:rPr>
              <w:rFonts w:hint="eastAsia"/>
            </w:rPr>
            <w:instrText xml:space="preserve"> </w:instrText>
          </w:r>
          <w:r>
            <w:rPr>
              <w:rFonts w:hint="eastAsia"/>
            </w:rPr>
            <w:fldChar w:fldCharType="separate"/>
          </w:r>
          <w:r>
            <w:t>115</w:t>
          </w:r>
          <w:r>
            <w:rPr>
              <w:rFonts w:hint="eastAsia"/>
            </w:rPr>
            <w:fldChar w:fldCharType="end"/>
          </w:r>
          <w:r>
            <w:rPr>
              <w:rFonts w:hint="eastAsia"/>
            </w:rPr>
            <w:fldChar w:fldCharType="end"/>
          </w:r>
        </w:p>
        <w:p w14:paraId="5795031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"_Toc198652114" </w:instrText>
          </w:r>
          <w:r>
            <w:fldChar w:fldCharType="separate"/>
          </w:r>
          <w:r>
            <w:rPr>
              <w:rStyle w:val="22"/>
              <w:rFonts w:hint="eastAsia" w:eastAsia="黑体" w:cs="Times New Roman"/>
              <w:kern w:val="0"/>
            </w:rPr>
            <w:t>8.5建立健全风险防控机制</w:t>
          </w:r>
          <w:r>
            <w:rPr>
              <w:rFonts w:hint="eastAsia"/>
            </w:rPr>
            <w:tab/>
          </w:r>
          <w:r>
            <w:rPr>
              <w:rFonts w:hint="eastAsia"/>
            </w:rPr>
            <w:fldChar w:fldCharType="begin"/>
          </w:r>
          <w:r>
            <w:rPr>
              <w:rFonts w:hint="eastAsia"/>
            </w:rPr>
            <w:instrText xml:space="preserve"> </w:instrText>
          </w:r>
          <w:r>
            <w:instrText xml:space="preserve">PAGEREF _Toc198652114 \h</w:instrText>
          </w:r>
          <w:r>
            <w:rPr>
              <w:rFonts w:hint="eastAsia"/>
            </w:rPr>
            <w:instrText xml:space="preserve"> </w:instrText>
          </w:r>
          <w:r>
            <w:rPr>
              <w:rFonts w:hint="eastAsia"/>
            </w:rPr>
            <w:fldChar w:fldCharType="separate"/>
          </w:r>
          <w:r>
            <w:t>116</w:t>
          </w:r>
          <w:r>
            <w:rPr>
              <w:rFonts w:hint="eastAsia"/>
            </w:rPr>
            <w:fldChar w:fldCharType="end"/>
          </w:r>
          <w:r>
            <w:rPr>
              <w:rFonts w:hint="eastAsia"/>
            </w:rPr>
            <w:fldChar w:fldCharType="end"/>
          </w:r>
        </w:p>
        <w:p w14:paraId="0AA4EB1E">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"_Toc198652115" </w:instrText>
          </w:r>
          <w:r>
            <w:fldChar w:fldCharType="separate"/>
          </w:r>
          <w:r>
            <w:rPr>
              <w:rStyle w:val="22"/>
              <w:rFonts w:hint="eastAsia" w:eastAsia="黑体" w:cs="Times New Roman"/>
            </w:rPr>
            <w:t>9重点项目与实施安排</w:t>
          </w:r>
          <w:r>
            <w:rPr>
              <w:rFonts w:hint="eastAsia"/>
            </w:rPr>
            <w:tab/>
          </w:r>
          <w:r>
            <w:rPr>
              <w:rFonts w:hint="eastAsia"/>
            </w:rPr>
            <w:fldChar w:fldCharType="begin"/>
          </w:r>
          <w:r>
            <w:rPr>
              <w:rFonts w:hint="eastAsia"/>
            </w:rPr>
            <w:instrText xml:space="preserve"> </w:instrText>
          </w:r>
          <w:r>
            <w:instrText xml:space="preserve">PAGEREF _Toc198652115 \h</w:instrText>
          </w:r>
          <w:r>
            <w:rPr>
              <w:rFonts w:hint="eastAsia"/>
            </w:rPr>
            <w:instrText xml:space="preserve"> </w:instrText>
          </w:r>
          <w:r>
            <w:rPr>
              <w:rFonts w:hint="eastAsia"/>
            </w:rPr>
            <w:fldChar w:fldCharType="separate"/>
          </w:r>
          <w:r>
            <w:t>118</w:t>
          </w:r>
          <w:r>
            <w:rPr>
              <w:rFonts w:hint="eastAsia"/>
            </w:rPr>
            <w:fldChar w:fldCharType="end"/>
          </w:r>
          <w:r>
            <w:rPr>
              <w:rFonts w:hint="eastAsia"/>
            </w:rPr>
            <w:fldChar w:fldCharType="end"/>
          </w:r>
        </w:p>
        <w:p w14:paraId="73DC9C3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"_Toc198652116" </w:instrText>
          </w:r>
          <w:r>
            <w:fldChar w:fldCharType="separate"/>
          </w:r>
          <w:r>
            <w:rPr>
              <w:rStyle w:val="22"/>
              <w:rFonts w:hint="eastAsia" w:eastAsia="黑体" w:cs="Times New Roman"/>
              <w:kern w:val="0"/>
            </w:rPr>
            <w:t>9.1重点项目</w:t>
          </w:r>
          <w:r>
            <w:rPr>
              <w:rFonts w:hint="eastAsia"/>
            </w:rPr>
            <w:tab/>
          </w:r>
          <w:r>
            <w:rPr>
              <w:rFonts w:hint="eastAsia"/>
            </w:rPr>
            <w:fldChar w:fldCharType="begin"/>
          </w:r>
          <w:r>
            <w:rPr>
              <w:rFonts w:hint="eastAsia"/>
            </w:rPr>
            <w:instrText xml:space="preserve"> </w:instrText>
          </w:r>
          <w:r>
            <w:instrText xml:space="preserve">PAGEREF _Toc198652116 \h</w:instrText>
          </w:r>
          <w:r>
            <w:rPr>
              <w:rFonts w:hint="eastAsia"/>
            </w:rPr>
            <w:instrText xml:space="preserve"> </w:instrText>
          </w:r>
          <w:r>
            <w:rPr>
              <w:rFonts w:hint="eastAsia"/>
            </w:rPr>
            <w:fldChar w:fldCharType="separate"/>
          </w:r>
          <w:r>
            <w:t>118</w:t>
          </w:r>
          <w:r>
            <w:rPr>
              <w:rFonts w:hint="eastAsia"/>
            </w:rPr>
            <w:fldChar w:fldCharType="end"/>
          </w:r>
          <w:r>
            <w:rPr>
              <w:rFonts w:hint="eastAsia"/>
            </w:rPr>
            <w:fldChar w:fldCharType="end"/>
          </w:r>
        </w:p>
        <w:p w14:paraId="7162AEC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"_Toc198652117" </w:instrText>
          </w:r>
          <w:r>
            <w:fldChar w:fldCharType="separate"/>
          </w:r>
          <w:r>
            <w:rPr>
              <w:rStyle w:val="22"/>
              <w:rFonts w:hint="eastAsia" w:eastAsia="黑体" w:cs="Times New Roman"/>
              <w:kern w:val="0"/>
            </w:rPr>
            <w:t>9.1.1节水控水</w:t>
          </w:r>
          <w:r>
            <w:rPr>
              <w:rFonts w:hint="eastAsia"/>
            </w:rPr>
            <w:tab/>
          </w:r>
          <w:r>
            <w:rPr>
              <w:rFonts w:hint="eastAsia"/>
            </w:rPr>
            <w:fldChar w:fldCharType="begin"/>
          </w:r>
          <w:r>
            <w:rPr>
              <w:rFonts w:hint="eastAsia"/>
            </w:rPr>
            <w:instrText xml:space="preserve"> </w:instrText>
          </w:r>
          <w:r>
            <w:instrText xml:space="preserve">PAGEREF _Toc198652117 \h</w:instrText>
          </w:r>
          <w:r>
            <w:rPr>
              <w:rFonts w:hint="eastAsia"/>
            </w:rPr>
            <w:instrText xml:space="preserve"> </w:instrText>
          </w:r>
          <w:r>
            <w:rPr>
              <w:rFonts w:hint="eastAsia"/>
            </w:rPr>
            <w:fldChar w:fldCharType="separate"/>
          </w:r>
          <w:r>
            <w:t>118</w:t>
          </w:r>
          <w:r>
            <w:rPr>
              <w:rFonts w:hint="eastAsia"/>
            </w:rPr>
            <w:fldChar w:fldCharType="end"/>
          </w:r>
          <w:r>
            <w:rPr>
              <w:rFonts w:hint="eastAsia"/>
            </w:rPr>
            <w:fldChar w:fldCharType="end"/>
          </w:r>
        </w:p>
        <w:p w14:paraId="71D88B7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"_Toc198652118" </w:instrText>
          </w:r>
          <w:r>
            <w:fldChar w:fldCharType="separate"/>
          </w:r>
          <w:r>
            <w:rPr>
              <w:rStyle w:val="22"/>
              <w:rFonts w:hint="eastAsia" w:eastAsia="黑体" w:cs="Times New Roman"/>
              <w:kern w:val="0"/>
            </w:rPr>
            <w:t>9.1.2水资源配置与保障</w:t>
          </w:r>
          <w:r>
            <w:rPr>
              <w:rFonts w:hint="eastAsia"/>
            </w:rPr>
            <w:tab/>
          </w:r>
          <w:r>
            <w:rPr>
              <w:rFonts w:hint="eastAsia"/>
            </w:rPr>
            <w:fldChar w:fldCharType="begin"/>
          </w:r>
          <w:r>
            <w:rPr>
              <w:rFonts w:hint="eastAsia"/>
            </w:rPr>
            <w:instrText xml:space="preserve"> </w:instrText>
          </w:r>
          <w:r>
            <w:instrText xml:space="preserve">PAGEREF _Toc198652118 \h</w:instrText>
          </w:r>
          <w:r>
            <w:rPr>
              <w:rFonts w:hint="eastAsia"/>
            </w:rPr>
            <w:instrText xml:space="preserve"> </w:instrText>
          </w:r>
          <w:r>
            <w:rPr>
              <w:rFonts w:hint="eastAsia"/>
            </w:rPr>
            <w:fldChar w:fldCharType="separate"/>
          </w:r>
          <w:r>
            <w:t>118</w:t>
          </w:r>
          <w:r>
            <w:rPr>
              <w:rFonts w:hint="eastAsia"/>
            </w:rPr>
            <w:fldChar w:fldCharType="end"/>
          </w:r>
          <w:r>
            <w:rPr>
              <w:rFonts w:hint="eastAsia"/>
            </w:rPr>
            <w:fldChar w:fldCharType="end"/>
          </w:r>
        </w:p>
        <w:p w14:paraId="1B6B5FD3">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"_Toc198652119" </w:instrText>
          </w:r>
          <w:r>
            <w:fldChar w:fldCharType="separate"/>
          </w:r>
          <w:r>
            <w:rPr>
              <w:rStyle w:val="22"/>
              <w:rFonts w:hint="eastAsia" w:eastAsia="黑体" w:cs="Times New Roman"/>
              <w:kern w:val="0"/>
            </w:rPr>
            <w:t>9.1.3流域防洪排涝减灾</w:t>
          </w:r>
          <w:r>
            <w:rPr>
              <w:rFonts w:hint="eastAsia"/>
            </w:rPr>
            <w:tab/>
          </w:r>
          <w:r>
            <w:rPr>
              <w:rFonts w:hint="eastAsia"/>
            </w:rPr>
            <w:fldChar w:fldCharType="begin"/>
          </w:r>
          <w:r>
            <w:rPr>
              <w:rFonts w:hint="eastAsia"/>
            </w:rPr>
            <w:instrText xml:space="preserve"> </w:instrText>
          </w:r>
          <w:r>
            <w:instrText xml:space="preserve">PAGEREF _Toc198652119 \h</w:instrText>
          </w:r>
          <w:r>
            <w:rPr>
              <w:rFonts w:hint="eastAsia"/>
            </w:rPr>
            <w:instrText xml:space="preserve"> </w:instrText>
          </w:r>
          <w:r>
            <w:rPr>
              <w:rFonts w:hint="eastAsia"/>
            </w:rPr>
            <w:fldChar w:fldCharType="separate"/>
          </w:r>
          <w:r>
            <w:t>119</w:t>
          </w:r>
          <w:r>
            <w:rPr>
              <w:rFonts w:hint="eastAsia"/>
            </w:rPr>
            <w:fldChar w:fldCharType="end"/>
          </w:r>
          <w:r>
            <w:rPr>
              <w:rFonts w:hint="eastAsia"/>
            </w:rPr>
            <w:fldChar w:fldCharType="end"/>
          </w:r>
        </w:p>
        <w:p w14:paraId="0147E46B">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"_Toc198652120" </w:instrText>
          </w:r>
          <w:r>
            <w:fldChar w:fldCharType="separate"/>
          </w:r>
          <w:r>
            <w:rPr>
              <w:rStyle w:val="22"/>
              <w:rFonts w:hint="eastAsia" w:eastAsia="黑体" w:cs="Times New Roman"/>
              <w:kern w:val="0"/>
            </w:rPr>
            <w:t>9.1.4水生态保护治理</w:t>
          </w:r>
          <w:r>
            <w:rPr>
              <w:rFonts w:hint="eastAsia"/>
            </w:rPr>
            <w:tab/>
          </w:r>
          <w:r>
            <w:rPr>
              <w:rFonts w:hint="eastAsia"/>
            </w:rPr>
            <w:fldChar w:fldCharType="begin"/>
          </w:r>
          <w:r>
            <w:rPr>
              <w:rFonts w:hint="eastAsia"/>
            </w:rPr>
            <w:instrText xml:space="preserve"> </w:instrText>
          </w:r>
          <w:r>
            <w:instrText xml:space="preserve">PAGEREF _Toc198652120 \h</w:instrText>
          </w:r>
          <w:r>
            <w:rPr>
              <w:rFonts w:hint="eastAsia"/>
            </w:rPr>
            <w:instrText xml:space="preserve"> </w:instrText>
          </w:r>
          <w:r>
            <w:rPr>
              <w:rFonts w:hint="eastAsia"/>
            </w:rPr>
            <w:fldChar w:fldCharType="separate"/>
          </w:r>
          <w:r>
            <w:t>120</w:t>
          </w:r>
          <w:r>
            <w:rPr>
              <w:rFonts w:hint="eastAsia"/>
            </w:rPr>
            <w:fldChar w:fldCharType="end"/>
          </w:r>
          <w:r>
            <w:rPr>
              <w:rFonts w:hint="eastAsia"/>
            </w:rPr>
            <w:fldChar w:fldCharType="end"/>
          </w:r>
        </w:p>
        <w:p w14:paraId="3E128A4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"_Toc198652121" </w:instrText>
          </w:r>
          <w:r>
            <w:fldChar w:fldCharType="separate"/>
          </w:r>
          <w:r>
            <w:rPr>
              <w:rStyle w:val="22"/>
              <w:rFonts w:hint="eastAsia" w:eastAsia="黑体" w:cs="Times New Roman"/>
              <w:kern w:val="0"/>
            </w:rPr>
            <w:t>9.1.5数字孪生水网建设</w:t>
          </w:r>
          <w:r>
            <w:rPr>
              <w:rFonts w:hint="eastAsia"/>
            </w:rPr>
            <w:tab/>
          </w:r>
          <w:r>
            <w:rPr>
              <w:rFonts w:hint="eastAsia"/>
            </w:rPr>
            <w:fldChar w:fldCharType="begin"/>
          </w:r>
          <w:r>
            <w:rPr>
              <w:rFonts w:hint="eastAsia"/>
            </w:rPr>
            <w:instrText xml:space="preserve"> </w:instrText>
          </w:r>
          <w:r>
            <w:instrText xml:space="preserve">PAGEREF _Toc198652121 \h</w:instrText>
          </w:r>
          <w:r>
            <w:rPr>
              <w:rFonts w:hint="eastAsia"/>
            </w:rPr>
            <w:instrText xml:space="preserve"> </w:instrText>
          </w:r>
          <w:r>
            <w:rPr>
              <w:rFonts w:hint="eastAsia"/>
            </w:rPr>
            <w:fldChar w:fldCharType="separate"/>
          </w:r>
          <w:r>
            <w:t>120</w:t>
          </w:r>
          <w:r>
            <w:rPr>
              <w:rFonts w:hint="eastAsia"/>
            </w:rPr>
            <w:fldChar w:fldCharType="end"/>
          </w:r>
          <w:r>
            <w:rPr>
              <w:rFonts w:hint="eastAsia"/>
            </w:rPr>
            <w:fldChar w:fldCharType="end"/>
          </w:r>
        </w:p>
        <w:p w14:paraId="684FA27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"_Toc198652122" </w:instrText>
          </w:r>
          <w:r>
            <w:fldChar w:fldCharType="separate"/>
          </w:r>
          <w:r>
            <w:rPr>
              <w:rStyle w:val="22"/>
              <w:rFonts w:hint="eastAsia" w:eastAsia="黑体" w:cs="Times New Roman"/>
              <w:kern w:val="0"/>
            </w:rPr>
            <w:t>9.2总投资匡算与实施安排</w:t>
          </w:r>
          <w:r>
            <w:rPr>
              <w:rFonts w:hint="eastAsia"/>
            </w:rPr>
            <w:tab/>
          </w:r>
          <w:r>
            <w:rPr>
              <w:rFonts w:hint="eastAsia"/>
            </w:rPr>
            <w:fldChar w:fldCharType="begin"/>
          </w:r>
          <w:r>
            <w:rPr>
              <w:rFonts w:hint="eastAsia"/>
            </w:rPr>
            <w:instrText xml:space="preserve"> </w:instrText>
          </w:r>
          <w:r>
            <w:instrText xml:space="preserve">PAGEREF _Toc198652122 \h</w:instrText>
          </w:r>
          <w:r>
            <w:rPr>
              <w:rFonts w:hint="eastAsia"/>
            </w:rPr>
            <w:instrText xml:space="preserve"> </w:instrText>
          </w:r>
          <w:r>
            <w:rPr>
              <w:rFonts w:hint="eastAsia"/>
            </w:rPr>
            <w:fldChar w:fldCharType="separate"/>
          </w:r>
          <w:r>
            <w:t>120</w:t>
          </w:r>
          <w:r>
            <w:rPr>
              <w:rFonts w:hint="eastAsia"/>
            </w:rPr>
            <w:fldChar w:fldCharType="end"/>
          </w:r>
          <w:r>
            <w:rPr>
              <w:rFonts w:hint="eastAsia"/>
            </w:rPr>
            <w:fldChar w:fldCharType="end"/>
          </w:r>
        </w:p>
        <w:p w14:paraId="52192213">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"_Toc198652123" </w:instrText>
          </w:r>
          <w:r>
            <w:fldChar w:fldCharType="separate"/>
          </w:r>
          <w:r>
            <w:rPr>
              <w:rStyle w:val="22"/>
              <w:rFonts w:hint="eastAsia" w:eastAsia="黑体" w:cs="Times New Roman"/>
              <w:kern w:val="0"/>
            </w:rPr>
            <w:t>9.3资金筹措建议</w:t>
          </w:r>
          <w:r>
            <w:rPr>
              <w:rFonts w:hint="eastAsia"/>
            </w:rPr>
            <w:tab/>
          </w:r>
          <w:r>
            <w:rPr>
              <w:rFonts w:hint="eastAsia"/>
            </w:rPr>
            <w:fldChar w:fldCharType="begin"/>
          </w:r>
          <w:r>
            <w:rPr>
              <w:rFonts w:hint="eastAsia"/>
            </w:rPr>
            <w:instrText xml:space="preserve"> </w:instrText>
          </w:r>
          <w:r>
            <w:instrText xml:space="preserve">PAGEREF _Toc198652123 \h</w:instrText>
          </w:r>
          <w:r>
            <w:rPr>
              <w:rFonts w:hint="eastAsia"/>
            </w:rPr>
            <w:instrText xml:space="preserve"> </w:instrText>
          </w:r>
          <w:r>
            <w:rPr>
              <w:rFonts w:hint="eastAsia"/>
            </w:rPr>
            <w:fldChar w:fldCharType="separate"/>
          </w:r>
          <w:r>
            <w:t>123</w:t>
          </w:r>
          <w:r>
            <w:rPr>
              <w:rFonts w:hint="eastAsia"/>
            </w:rPr>
            <w:fldChar w:fldCharType="end"/>
          </w:r>
          <w:r>
            <w:rPr>
              <w:rFonts w:hint="eastAsia"/>
            </w:rPr>
            <w:fldChar w:fldCharType="end"/>
          </w:r>
        </w:p>
        <w:p w14:paraId="293D0121">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"_Toc198652124" </w:instrText>
          </w:r>
          <w:r>
            <w:fldChar w:fldCharType="separate"/>
          </w:r>
          <w:r>
            <w:rPr>
              <w:rStyle w:val="22"/>
              <w:rFonts w:hint="eastAsia" w:eastAsia="黑体" w:cs="Times New Roman"/>
            </w:rPr>
            <w:t>10环境影响评价</w:t>
          </w:r>
          <w:r>
            <w:rPr>
              <w:rFonts w:hint="eastAsia"/>
            </w:rPr>
            <w:tab/>
          </w:r>
          <w:r>
            <w:rPr>
              <w:rFonts w:hint="eastAsia"/>
            </w:rPr>
            <w:fldChar w:fldCharType="begin"/>
          </w:r>
          <w:r>
            <w:rPr>
              <w:rFonts w:hint="eastAsia"/>
            </w:rPr>
            <w:instrText xml:space="preserve"> </w:instrText>
          </w:r>
          <w:r>
            <w:instrText xml:space="preserve">PAGEREF _Toc198652124 \h</w:instrText>
          </w:r>
          <w:r>
            <w:rPr>
              <w:rFonts w:hint="eastAsia"/>
            </w:rPr>
            <w:instrText xml:space="preserve"> </w:instrText>
          </w:r>
          <w:r>
            <w:rPr>
              <w:rFonts w:hint="eastAsia"/>
            </w:rPr>
            <w:fldChar w:fldCharType="separate"/>
          </w:r>
          <w:r>
            <w:t>125</w:t>
          </w:r>
          <w:r>
            <w:rPr>
              <w:rFonts w:hint="eastAsia"/>
            </w:rPr>
            <w:fldChar w:fldCharType="end"/>
          </w:r>
          <w:r>
            <w:rPr>
              <w:rFonts w:hint="eastAsia"/>
            </w:rPr>
            <w:fldChar w:fldCharType="end"/>
          </w:r>
        </w:p>
        <w:p w14:paraId="24611ABE">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"_Toc198652125" </w:instrText>
          </w:r>
          <w:r>
            <w:fldChar w:fldCharType="separate"/>
          </w:r>
          <w:r>
            <w:rPr>
              <w:rStyle w:val="22"/>
              <w:rFonts w:hint="eastAsia" w:eastAsia="黑体" w:cs="Times New Roman"/>
              <w:kern w:val="0"/>
            </w:rPr>
            <w:t>10.1环境保护要求</w:t>
          </w:r>
          <w:r>
            <w:rPr>
              <w:rFonts w:hint="eastAsia"/>
            </w:rPr>
            <w:tab/>
          </w:r>
          <w:r>
            <w:rPr>
              <w:rFonts w:hint="eastAsia"/>
            </w:rPr>
            <w:fldChar w:fldCharType="begin"/>
          </w:r>
          <w:r>
            <w:rPr>
              <w:rFonts w:hint="eastAsia"/>
            </w:rPr>
            <w:instrText xml:space="preserve"> </w:instrText>
          </w:r>
          <w:r>
            <w:instrText xml:space="preserve">PAGEREF _Toc198652125 \h</w:instrText>
          </w:r>
          <w:r>
            <w:rPr>
              <w:rFonts w:hint="eastAsia"/>
            </w:rPr>
            <w:instrText xml:space="preserve"> </w:instrText>
          </w:r>
          <w:r>
            <w:rPr>
              <w:rFonts w:hint="eastAsia"/>
            </w:rPr>
            <w:fldChar w:fldCharType="separate"/>
          </w:r>
          <w:r>
            <w:t>125</w:t>
          </w:r>
          <w:r>
            <w:rPr>
              <w:rFonts w:hint="eastAsia"/>
            </w:rPr>
            <w:fldChar w:fldCharType="end"/>
          </w:r>
          <w:r>
            <w:rPr>
              <w:rFonts w:hint="eastAsia"/>
            </w:rPr>
            <w:fldChar w:fldCharType="end"/>
          </w:r>
        </w:p>
        <w:p w14:paraId="3C4BB70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"_Toc198652126" </w:instrText>
          </w:r>
          <w:r>
            <w:fldChar w:fldCharType="separate"/>
          </w:r>
          <w:r>
            <w:rPr>
              <w:rStyle w:val="22"/>
              <w:rFonts w:hint="eastAsia" w:eastAsia="黑体" w:cs="Times New Roman"/>
              <w:kern w:val="0"/>
            </w:rPr>
            <w:t>10.2规划符合性分析</w:t>
          </w:r>
          <w:r>
            <w:rPr>
              <w:rFonts w:hint="eastAsia"/>
            </w:rPr>
            <w:tab/>
          </w:r>
          <w:r>
            <w:rPr>
              <w:rFonts w:hint="eastAsia"/>
            </w:rPr>
            <w:fldChar w:fldCharType="begin"/>
          </w:r>
          <w:r>
            <w:rPr>
              <w:rFonts w:hint="eastAsia"/>
            </w:rPr>
            <w:instrText xml:space="preserve"> </w:instrText>
          </w:r>
          <w:r>
            <w:instrText xml:space="preserve">PAGEREF _Toc198652126 \h</w:instrText>
          </w:r>
          <w:r>
            <w:rPr>
              <w:rFonts w:hint="eastAsia"/>
            </w:rPr>
            <w:instrText xml:space="preserve"> </w:instrText>
          </w:r>
          <w:r>
            <w:rPr>
              <w:rFonts w:hint="eastAsia"/>
            </w:rPr>
            <w:fldChar w:fldCharType="separate"/>
          </w:r>
          <w:r>
            <w:t>125</w:t>
          </w:r>
          <w:r>
            <w:rPr>
              <w:rFonts w:hint="eastAsia"/>
            </w:rPr>
            <w:fldChar w:fldCharType="end"/>
          </w:r>
          <w:r>
            <w:rPr>
              <w:rFonts w:hint="eastAsia"/>
            </w:rPr>
            <w:fldChar w:fldCharType="end"/>
          </w:r>
        </w:p>
        <w:p w14:paraId="3FB85BE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"_Toc198652127" </w:instrText>
          </w:r>
          <w:r>
            <w:fldChar w:fldCharType="separate"/>
          </w:r>
          <w:r>
            <w:rPr>
              <w:rStyle w:val="22"/>
              <w:rFonts w:hint="eastAsia" w:eastAsia="黑体" w:cs="Times New Roman"/>
              <w:kern w:val="0"/>
            </w:rPr>
            <w:t>10.3主要环境影响预测与评价</w:t>
          </w:r>
          <w:r>
            <w:rPr>
              <w:rFonts w:hint="eastAsia"/>
            </w:rPr>
            <w:tab/>
          </w:r>
          <w:r>
            <w:rPr>
              <w:rFonts w:hint="eastAsia"/>
            </w:rPr>
            <w:fldChar w:fldCharType="begin"/>
          </w:r>
          <w:r>
            <w:rPr>
              <w:rFonts w:hint="eastAsia"/>
            </w:rPr>
            <w:instrText xml:space="preserve"> </w:instrText>
          </w:r>
          <w:r>
            <w:instrText xml:space="preserve">PAGEREF _Toc198652127 \h</w:instrText>
          </w:r>
          <w:r>
            <w:rPr>
              <w:rFonts w:hint="eastAsia"/>
            </w:rPr>
            <w:instrText xml:space="preserve"> </w:instrText>
          </w:r>
          <w:r>
            <w:rPr>
              <w:rFonts w:hint="eastAsia"/>
            </w:rPr>
            <w:fldChar w:fldCharType="separate"/>
          </w:r>
          <w:r>
            <w:t>126</w:t>
          </w:r>
          <w:r>
            <w:rPr>
              <w:rFonts w:hint="eastAsia"/>
            </w:rPr>
            <w:fldChar w:fldCharType="end"/>
          </w:r>
          <w:r>
            <w:rPr>
              <w:rFonts w:hint="eastAsia"/>
            </w:rPr>
            <w:fldChar w:fldCharType="end"/>
          </w:r>
        </w:p>
        <w:p w14:paraId="1EA9C19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"_Toc198652128" </w:instrText>
          </w:r>
          <w:r>
            <w:fldChar w:fldCharType="separate"/>
          </w:r>
          <w:r>
            <w:rPr>
              <w:rStyle w:val="22"/>
              <w:rFonts w:hint="eastAsia" w:eastAsia="黑体" w:cs="Times New Roman"/>
              <w:kern w:val="0"/>
            </w:rPr>
            <w:t>10.3.1水文水资源影响分析</w:t>
          </w:r>
          <w:r>
            <w:rPr>
              <w:rFonts w:hint="eastAsia"/>
            </w:rPr>
            <w:tab/>
          </w:r>
          <w:r>
            <w:rPr>
              <w:rFonts w:hint="eastAsia"/>
            </w:rPr>
            <w:fldChar w:fldCharType="begin"/>
          </w:r>
          <w:r>
            <w:rPr>
              <w:rFonts w:hint="eastAsia"/>
            </w:rPr>
            <w:instrText xml:space="preserve"> </w:instrText>
          </w:r>
          <w:r>
            <w:instrText xml:space="preserve">PAGEREF _Toc198652128 \h</w:instrText>
          </w:r>
          <w:r>
            <w:rPr>
              <w:rFonts w:hint="eastAsia"/>
            </w:rPr>
            <w:instrText xml:space="preserve"> </w:instrText>
          </w:r>
          <w:r>
            <w:rPr>
              <w:rFonts w:hint="eastAsia"/>
            </w:rPr>
            <w:fldChar w:fldCharType="separate"/>
          </w:r>
          <w:r>
            <w:t>126</w:t>
          </w:r>
          <w:r>
            <w:rPr>
              <w:rFonts w:hint="eastAsia"/>
            </w:rPr>
            <w:fldChar w:fldCharType="end"/>
          </w:r>
          <w:r>
            <w:rPr>
              <w:rFonts w:hint="eastAsia"/>
            </w:rPr>
            <w:fldChar w:fldCharType="end"/>
          </w:r>
        </w:p>
        <w:p w14:paraId="7175C66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"_Toc198652129" </w:instrText>
          </w:r>
          <w:r>
            <w:fldChar w:fldCharType="separate"/>
          </w:r>
          <w:r>
            <w:rPr>
              <w:rStyle w:val="22"/>
              <w:rFonts w:hint="eastAsia" w:eastAsia="黑体" w:cs="Times New Roman"/>
              <w:kern w:val="0"/>
            </w:rPr>
            <w:t>10.3.2水环境影响分析</w:t>
          </w:r>
          <w:r>
            <w:rPr>
              <w:rFonts w:hint="eastAsia"/>
            </w:rPr>
            <w:tab/>
          </w:r>
          <w:r>
            <w:rPr>
              <w:rFonts w:hint="eastAsia"/>
            </w:rPr>
            <w:fldChar w:fldCharType="begin"/>
          </w:r>
          <w:r>
            <w:rPr>
              <w:rFonts w:hint="eastAsia"/>
            </w:rPr>
            <w:instrText xml:space="preserve"> </w:instrText>
          </w:r>
          <w:r>
            <w:instrText xml:space="preserve">PAGEREF _Toc198652129 \h</w:instrText>
          </w:r>
          <w:r>
            <w:rPr>
              <w:rFonts w:hint="eastAsia"/>
            </w:rPr>
            <w:instrText xml:space="preserve"> </w:instrText>
          </w:r>
          <w:r>
            <w:rPr>
              <w:rFonts w:hint="eastAsia"/>
            </w:rPr>
            <w:fldChar w:fldCharType="separate"/>
          </w:r>
          <w:r>
            <w:t>127</w:t>
          </w:r>
          <w:r>
            <w:rPr>
              <w:rFonts w:hint="eastAsia"/>
            </w:rPr>
            <w:fldChar w:fldCharType="end"/>
          </w:r>
          <w:r>
            <w:rPr>
              <w:rFonts w:hint="eastAsia"/>
            </w:rPr>
            <w:fldChar w:fldCharType="end"/>
          </w:r>
        </w:p>
        <w:p w14:paraId="4E494EDC">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"_Toc198652130" </w:instrText>
          </w:r>
          <w:r>
            <w:fldChar w:fldCharType="separate"/>
          </w:r>
          <w:r>
            <w:rPr>
              <w:rStyle w:val="22"/>
              <w:rFonts w:hint="eastAsia" w:eastAsia="黑体" w:cs="Times New Roman"/>
              <w:kern w:val="0"/>
            </w:rPr>
            <w:t>10.3.3陆生生态环境影响分析</w:t>
          </w:r>
          <w:r>
            <w:rPr>
              <w:rFonts w:hint="eastAsia"/>
            </w:rPr>
            <w:tab/>
          </w:r>
          <w:r>
            <w:rPr>
              <w:rFonts w:hint="eastAsia"/>
            </w:rPr>
            <w:fldChar w:fldCharType="begin"/>
          </w:r>
          <w:r>
            <w:rPr>
              <w:rFonts w:hint="eastAsia"/>
            </w:rPr>
            <w:instrText xml:space="preserve"> </w:instrText>
          </w:r>
          <w:r>
            <w:instrText xml:space="preserve">PAGEREF _Toc198652130 \h</w:instrText>
          </w:r>
          <w:r>
            <w:rPr>
              <w:rFonts w:hint="eastAsia"/>
            </w:rPr>
            <w:instrText xml:space="preserve"> </w:instrText>
          </w:r>
          <w:r>
            <w:rPr>
              <w:rFonts w:hint="eastAsia"/>
            </w:rPr>
            <w:fldChar w:fldCharType="separate"/>
          </w:r>
          <w:r>
            <w:t>127</w:t>
          </w:r>
          <w:r>
            <w:rPr>
              <w:rFonts w:hint="eastAsia"/>
            </w:rPr>
            <w:fldChar w:fldCharType="end"/>
          </w:r>
          <w:r>
            <w:rPr>
              <w:rFonts w:hint="eastAsia"/>
            </w:rPr>
            <w:fldChar w:fldCharType="end"/>
          </w:r>
        </w:p>
        <w:p w14:paraId="6D63280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"_Toc198652131" </w:instrText>
          </w:r>
          <w:r>
            <w:fldChar w:fldCharType="separate"/>
          </w:r>
          <w:r>
            <w:rPr>
              <w:rStyle w:val="22"/>
              <w:rFonts w:hint="eastAsia" w:eastAsia="黑体" w:cs="Times New Roman"/>
              <w:kern w:val="0"/>
            </w:rPr>
            <w:t>10.3.4水生生态环境影响分析</w:t>
          </w:r>
          <w:r>
            <w:rPr>
              <w:rFonts w:hint="eastAsia"/>
            </w:rPr>
            <w:tab/>
          </w:r>
          <w:r>
            <w:rPr>
              <w:rFonts w:hint="eastAsia"/>
            </w:rPr>
            <w:fldChar w:fldCharType="begin"/>
          </w:r>
          <w:r>
            <w:rPr>
              <w:rFonts w:hint="eastAsia"/>
            </w:rPr>
            <w:instrText xml:space="preserve"> </w:instrText>
          </w:r>
          <w:r>
            <w:instrText xml:space="preserve">PAGEREF _Toc198652131 \h</w:instrText>
          </w:r>
          <w:r>
            <w:rPr>
              <w:rFonts w:hint="eastAsia"/>
            </w:rPr>
            <w:instrText xml:space="preserve"> </w:instrText>
          </w:r>
          <w:r>
            <w:rPr>
              <w:rFonts w:hint="eastAsia"/>
            </w:rPr>
            <w:fldChar w:fldCharType="separate"/>
          </w:r>
          <w:r>
            <w:t>127</w:t>
          </w:r>
          <w:r>
            <w:rPr>
              <w:rFonts w:hint="eastAsia"/>
            </w:rPr>
            <w:fldChar w:fldCharType="end"/>
          </w:r>
          <w:r>
            <w:rPr>
              <w:rFonts w:hint="eastAsia"/>
            </w:rPr>
            <w:fldChar w:fldCharType="end"/>
          </w:r>
        </w:p>
        <w:p w14:paraId="1004B4FF">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"_Toc198652132" </w:instrText>
          </w:r>
          <w:r>
            <w:fldChar w:fldCharType="separate"/>
          </w:r>
          <w:r>
            <w:rPr>
              <w:rStyle w:val="22"/>
              <w:rFonts w:hint="eastAsia" w:eastAsia="黑体" w:cs="Times New Roman"/>
              <w:kern w:val="0"/>
            </w:rPr>
            <w:t>10.3.5对环境敏感区的影响分析</w:t>
          </w:r>
          <w:r>
            <w:rPr>
              <w:rFonts w:hint="eastAsia"/>
            </w:rPr>
            <w:tab/>
          </w:r>
          <w:r>
            <w:rPr>
              <w:rFonts w:hint="eastAsia"/>
            </w:rPr>
            <w:fldChar w:fldCharType="begin"/>
          </w:r>
          <w:r>
            <w:rPr>
              <w:rFonts w:hint="eastAsia"/>
            </w:rPr>
            <w:instrText xml:space="preserve"> </w:instrText>
          </w:r>
          <w:r>
            <w:instrText xml:space="preserve">PAGEREF _Toc198652132 \h</w:instrText>
          </w:r>
          <w:r>
            <w:rPr>
              <w:rFonts w:hint="eastAsia"/>
            </w:rPr>
            <w:instrText xml:space="preserve"> </w:instrText>
          </w:r>
          <w:r>
            <w:rPr>
              <w:rFonts w:hint="eastAsia"/>
            </w:rPr>
            <w:fldChar w:fldCharType="separate"/>
          </w:r>
          <w:r>
            <w:t>128</w:t>
          </w:r>
          <w:r>
            <w:rPr>
              <w:rFonts w:hint="eastAsia"/>
            </w:rPr>
            <w:fldChar w:fldCharType="end"/>
          </w:r>
          <w:r>
            <w:rPr>
              <w:rFonts w:hint="eastAsia"/>
            </w:rPr>
            <w:fldChar w:fldCharType="end"/>
          </w:r>
        </w:p>
        <w:p w14:paraId="1FA063B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"_Toc198652133" </w:instrText>
          </w:r>
          <w:r>
            <w:fldChar w:fldCharType="separate"/>
          </w:r>
          <w:r>
            <w:rPr>
              <w:rStyle w:val="22"/>
              <w:rFonts w:hint="eastAsia" w:eastAsia="黑体" w:cs="Times New Roman"/>
              <w:kern w:val="0"/>
            </w:rPr>
            <w:t>10.4规划的合理性及优化调整建议</w:t>
          </w:r>
          <w:r>
            <w:rPr>
              <w:rFonts w:hint="eastAsia"/>
            </w:rPr>
            <w:tab/>
          </w:r>
          <w:r>
            <w:rPr>
              <w:rFonts w:hint="eastAsia"/>
            </w:rPr>
            <w:fldChar w:fldCharType="begin"/>
          </w:r>
          <w:r>
            <w:rPr>
              <w:rFonts w:hint="eastAsia"/>
            </w:rPr>
            <w:instrText xml:space="preserve"> </w:instrText>
          </w:r>
          <w:r>
            <w:instrText xml:space="preserve">PAGEREF _Toc198652133 \h</w:instrText>
          </w:r>
          <w:r>
            <w:rPr>
              <w:rFonts w:hint="eastAsia"/>
            </w:rPr>
            <w:instrText xml:space="preserve"> </w:instrText>
          </w:r>
          <w:r>
            <w:rPr>
              <w:rFonts w:hint="eastAsia"/>
            </w:rPr>
            <w:fldChar w:fldCharType="separate"/>
          </w:r>
          <w:r>
            <w:t>128</w:t>
          </w:r>
          <w:r>
            <w:rPr>
              <w:rFonts w:hint="eastAsia"/>
            </w:rPr>
            <w:fldChar w:fldCharType="end"/>
          </w:r>
          <w:r>
            <w:rPr>
              <w:rFonts w:hint="eastAsia"/>
            </w:rPr>
            <w:fldChar w:fldCharType="end"/>
          </w:r>
        </w:p>
        <w:p w14:paraId="671D5AF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"_Toc198652134" </w:instrText>
          </w:r>
          <w:r>
            <w:fldChar w:fldCharType="separate"/>
          </w:r>
          <w:r>
            <w:rPr>
              <w:rStyle w:val="22"/>
              <w:rFonts w:hint="eastAsia" w:eastAsia="黑体" w:cs="Times New Roman"/>
              <w:kern w:val="0"/>
            </w:rPr>
            <w:t>10.4.1规划布局的环境合理性分析</w:t>
          </w:r>
          <w:r>
            <w:rPr>
              <w:rFonts w:hint="eastAsia"/>
            </w:rPr>
            <w:tab/>
          </w:r>
          <w:r>
            <w:rPr>
              <w:rFonts w:hint="eastAsia"/>
            </w:rPr>
            <w:fldChar w:fldCharType="begin"/>
          </w:r>
          <w:r>
            <w:rPr>
              <w:rFonts w:hint="eastAsia"/>
            </w:rPr>
            <w:instrText xml:space="preserve"> </w:instrText>
          </w:r>
          <w:r>
            <w:instrText xml:space="preserve">PAGEREF _Toc198652134 \h</w:instrText>
          </w:r>
          <w:r>
            <w:rPr>
              <w:rFonts w:hint="eastAsia"/>
            </w:rPr>
            <w:instrText xml:space="preserve"> </w:instrText>
          </w:r>
          <w:r>
            <w:rPr>
              <w:rFonts w:hint="eastAsia"/>
            </w:rPr>
            <w:fldChar w:fldCharType="separate"/>
          </w:r>
          <w:r>
            <w:t>128</w:t>
          </w:r>
          <w:r>
            <w:rPr>
              <w:rFonts w:hint="eastAsia"/>
            </w:rPr>
            <w:fldChar w:fldCharType="end"/>
          </w:r>
          <w:r>
            <w:rPr>
              <w:rFonts w:hint="eastAsia"/>
            </w:rPr>
            <w:fldChar w:fldCharType="end"/>
          </w:r>
        </w:p>
        <w:p w14:paraId="6C376B27">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"_Toc198652135" </w:instrText>
          </w:r>
          <w:r>
            <w:fldChar w:fldCharType="separate"/>
          </w:r>
          <w:r>
            <w:rPr>
              <w:rStyle w:val="22"/>
              <w:rFonts w:hint="eastAsia" w:eastAsia="黑体" w:cs="Times New Roman"/>
              <w:kern w:val="0"/>
            </w:rPr>
            <w:t>10.4.2规划规模的环境合理性分析</w:t>
          </w:r>
          <w:r>
            <w:rPr>
              <w:rFonts w:hint="eastAsia"/>
            </w:rPr>
            <w:tab/>
          </w:r>
          <w:r>
            <w:rPr>
              <w:rFonts w:hint="eastAsia"/>
            </w:rPr>
            <w:fldChar w:fldCharType="begin"/>
          </w:r>
          <w:r>
            <w:rPr>
              <w:rFonts w:hint="eastAsia"/>
            </w:rPr>
            <w:instrText xml:space="preserve"> </w:instrText>
          </w:r>
          <w:r>
            <w:instrText xml:space="preserve">PAGEREF _Toc198652135 \h</w:instrText>
          </w:r>
          <w:r>
            <w:rPr>
              <w:rFonts w:hint="eastAsia"/>
            </w:rPr>
            <w:instrText xml:space="preserve"> </w:instrText>
          </w:r>
          <w:r>
            <w:rPr>
              <w:rFonts w:hint="eastAsia"/>
            </w:rPr>
            <w:fldChar w:fldCharType="separate"/>
          </w:r>
          <w:r>
            <w:t>128</w:t>
          </w:r>
          <w:r>
            <w:rPr>
              <w:rFonts w:hint="eastAsia"/>
            </w:rPr>
            <w:fldChar w:fldCharType="end"/>
          </w:r>
          <w:r>
            <w:rPr>
              <w:rFonts w:hint="eastAsia"/>
            </w:rPr>
            <w:fldChar w:fldCharType="end"/>
          </w:r>
        </w:p>
        <w:p w14:paraId="2516A491">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"_Toc198652136" </w:instrText>
          </w:r>
          <w:r>
            <w:fldChar w:fldCharType="separate"/>
          </w:r>
          <w:r>
            <w:rPr>
              <w:rStyle w:val="22"/>
              <w:rFonts w:hint="eastAsia" w:eastAsia="黑体" w:cs="Times New Roman"/>
              <w:kern w:val="0"/>
            </w:rPr>
            <w:t>10.5环境影响减缓对策措施</w:t>
          </w:r>
          <w:r>
            <w:rPr>
              <w:rFonts w:hint="eastAsia"/>
            </w:rPr>
            <w:tab/>
          </w:r>
          <w:r>
            <w:rPr>
              <w:rFonts w:hint="eastAsia"/>
            </w:rPr>
            <w:fldChar w:fldCharType="begin"/>
          </w:r>
          <w:r>
            <w:rPr>
              <w:rFonts w:hint="eastAsia"/>
            </w:rPr>
            <w:instrText xml:space="preserve"> </w:instrText>
          </w:r>
          <w:r>
            <w:instrText xml:space="preserve">PAGEREF _Toc198652136 \h</w:instrText>
          </w:r>
          <w:r>
            <w:rPr>
              <w:rFonts w:hint="eastAsia"/>
            </w:rPr>
            <w:instrText xml:space="preserve"> </w:instrText>
          </w:r>
          <w:r>
            <w:rPr>
              <w:rFonts w:hint="eastAsia"/>
            </w:rPr>
            <w:fldChar w:fldCharType="separate"/>
          </w:r>
          <w:r>
            <w:t>129</w:t>
          </w:r>
          <w:r>
            <w:rPr>
              <w:rFonts w:hint="eastAsia"/>
            </w:rPr>
            <w:fldChar w:fldCharType="end"/>
          </w:r>
          <w:r>
            <w:rPr>
              <w:rFonts w:hint="eastAsia"/>
            </w:rPr>
            <w:fldChar w:fldCharType="end"/>
          </w:r>
        </w:p>
        <w:p w14:paraId="70B409A4">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"_Toc198652137" </w:instrText>
          </w:r>
          <w:r>
            <w:fldChar w:fldCharType="separate"/>
          </w:r>
          <w:r>
            <w:rPr>
              <w:rStyle w:val="22"/>
              <w:rFonts w:hint="eastAsia" w:eastAsia="黑体" w:cs="Times New Roman"/>
              <w:kern w:val="0"/>
            </w:rPr>
            <w:t>10.5.1建立生态和环境监测体系，指定跟踪评价计划</w:t>
          </w:r>
          <w:r>
            <w:rPr>
              <w:rFonts w:hint="eastAsia"/>
            </w:rPr>
            <w:tab/>
          </w:r>
          <w:r>
            <w:rPr>
              <w:rFonts w:hint="eastAsia"/>
            </w:rPr>
            <w:fldChar w:fldCharType="begin"/>
          </w:r>
          <w:r>
            <w:rPr>
              <w:rFonts w:hint="eastAsia"/>
            </w:rPr>
            <w:instrText xml:space="preserve"> </w:instrText>
          </w:r>
          <w:r>
            <w:instrText xml:space="preserve">PAGEREF _Toc198652137 \h</w:instrText>
          </w:r>
          <w:r>
            <w:rPr>
              <w:rFonts w:hint="eastAsia"/>
            </w:rPr>
            <w:instrText xml:space="preserve"> </w:instrText>
          </w:r>
          <w:r>
            <w:rPr>
              <w:rFonts w:hint="eastAsia"/>
            </w:rPr>
            <w:fldChar w:fldCharType="separate"/>
          </w:r>
          <w:r>
            <w:t>129</w:t>
          </w:r>
          <w:r>
            <w:rPr>
              <w:rFonts w:hint="eastAsia"/>
            </w:rPr>
            <w:fldChar w:fldCharType="end"/>
          </w:r>
          <w:r>
            <w:rPr>
              <w:rFonts w:hint="eastAsia"/>
            </w:rPr>
            <w:fldChar w:fldCharType="end"/>
          </w:r>
        </w:p>
        <w:p w14:paraId="45E2D6E8">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"_Toc198652138" </w:instrText>
          </w:r>
          <w:r>
            <w:fldChar w:fldCharType="separate"/>
          </w:r>
          <w:r>
            <w:rPr>
              <w:rStyle w:val="22"/>
              <w:rFonts w:hint="eastAsia" w:eastAsia="黑体" w:cs="Times New Roman"/>
              <w:kern w:val="0"/>
            </w:rPr>
            <w:t>10.5.2严格执行建设项目的环境影响评价审批制度</w:t>
          </w:r>
          <w:r>
            <w:rPr>
              <w:rFonts w:hint="eastAsia"/>
            </w:rPr>
            <w:tab/>
          </w:r>
          <w:r>
            <w:rPr>
              <w:rFonts w:hint="eastAsia"/>
            </w:rPr>
            <w:fldChar w:fldCharType="begin"/>
          </w:r>
          <w:r>
            <w:rPr>
              <w:rFonts w:hint="eastAsia"/>
            </w:rPr>
            <w:instrText xml:space="preserve"> </w:instrText>
          </w:r>
          <w:r>
            <w:instrText xml:space="preserve">PAGEREF _Toc198652138 \h</w:instrText>
          </w:r>
          <w:r>
            <w:rPr>
              <w:rFonts w:hint="eastAsia"/>
            </w:rPr>
            <w:instrText xml:space="preserve"> </w:instrText>
          </w:r>
          <w:r>
            <w:rPr>
              <w:rFonts w:hint="eastAsia"/>
            </w:rPr>
            <w:fldChar w:fldCharType="separate"/>
          </w:r>
          <w:r>
            <w:t>129</w:t>
          </w:r>
          <w:r>
            <w:rPr>
              <w:rFonts w:hint="eastAsia"/>
            </w:rPr>
            <w:fldChar w:fldCharType="end"/>
          </w:r>
          <w:r>
            <w:rPr>
              <w:rFonts w:hint="eastAsia"/>
            </w:rPr>
            <w:fldChar w:fldCharType="end"/>
          </w:r>
        </w:p>
        <w:p w14:paraId="2A5B65B6">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"_Toc198652139" </w:instrText>
          </w:r>
          <w:r>
            <w:fldChar w:fldCharType="separate"/>
          </w:r>
          <w:r>
            <w:rPr>
              <w:rStyle w:val="22"/>
              <w:rFonts w:hint="eastAsia" w:eastAsia="黑体" w:cs="Times New Roman"/>
              <w:kern w:val="0"/>
            </w:rPr>
            <w:t>10.5.3严格环境准入要求和环评审批</w:t>
          </w:r>
          <w:r>
            <w:rPr>
              <w:rFonts w:hint="eastAsia"/>
            </w:rPr>
            <w:tab/>
          </w:r>
          <w:r>
            <w:rPr>
              <w:rFonts w:hint="eastAsia"/>
            </w:rPr>
            <w:fldChar w:fldCharType="begin"/>
          </w:r>
          <w:r>
            <w:rPr>
              <w:rFonts w:hint="eastAsia"/>
            </w:rPr>
            <w:instrText xml:space="preserve"> </w:instrText>
          </w:r>
          <w:r>
            <w:instrText xml:space="preserve">PAGEREF _Toc198652139 \h</w:instrText>
          </w:r>
          <w:r>
            <w:rPr>
              <w:rFonts w:hint="eastAsia"/>
            </w:rPr>
            <w:instrText xml:space="preserve"> </w:instrText>
          </w:r>
          <w:r>
            <w:rPr>
              <w:rFonts w:hint="eastAsia"/>
            </w:rPr>
            <w:fldChar w:fldCharType="separate"/>
          </w:r>
          <w:r>
            <w:t>129</w:t>
          </w:r>
          <w:r>
            <w:rPr>
              <w:rFonts w:hint="eastAsia"/>
            </w:rPr>
            <w:fldChar w:fldCharType="end"/>
          </w:r>
          <w:r>
            <w:rPr>
              <w:rFonts w:hint="eastAsia"/>
            </w:rPr>
            <w:fldChar w:fldCharType="end"/>
          </w:r>
        </w:p>
        <w:p w14:paraId="0F59D262">
          <w:pPr>
            <w:pStyle w:val="8"/>
            <w:tabs>
              <w:tab w:val="right" w:leader="dot" w:pos="8296"/>
            </w:tabs>
            <w:ind w:left="960"/>
            <w:rPr>
              <w:rFonts w:hint="eastAsia" w:asciiTheme="minorHAnsi" w:hAnsiTheme="minorHAnsi" w:eastAsiaTheme="minorEastAsia"/>
              <w:sz w:val="22"/>
              <w:szCs w:val="24"/>
              <w14:ligatures w14:val="standardContextual"/>
            </w:rPr>
          </w:pPr>
          <w:r>
            <w:fldChar w:fldCharType="begin"/>
          </w:r>
          <w:r>
            <w:instrText xml:space="preserve"> HYPERLINK \l "_Toc198652140" </w:instrText>
          </w:r>
          <w:r>
            <w:fldChar w:fldCharType="separate"/>
          </w:r>
          <w:r>
            <w:rPr>
              <w:rStyle w:val="22"/>
              <w:rFonts w:hint="eastAsia" w:eastAsia="黑体" w:cs="Times New Roman"/>
              <w:kern w:val="0"/>
            </w:rPr>
            <w:t>10.5.4建立政策保障，强化规划约束</w:t>
          </w:r>
          <w:r>
            <w:rPr>
              <w:rFonts w:hint="eastAsia"/>
            </w:rPr>
            <w:tab/>
          </w:r>
          <w:r>
            <w:rPr>
              <w:rFonts w:hint="eastAsia"/>
            </w:rPr>
            <w:fldChar w:fldCharType="begin"/>
          </w:r>
          <w:r>
            <w:rPr>
              <w:rFonts w:hint="eastAsia"/>
            </w:rPr>
            <w:instrText xml:space="preserve"> </w:instrText>
          </w:r>
          <w:r>
            <w:instrText xml:space="preserve">PAGEREF _Toc198652140 \h</w:instrText>
          </w:r>
          <w:r>
            <w:rPr>
              <w:rFonts w:hint="eastAsia"/>
            </w:rPr>
            <w:instrText xml:space="preserve"> </w:instrText>
          </w:r>
          <w:r>
            <w:rPr>
              <w:rFonts w:hint="eastAsia"/>
            </w:rPr>
            <w:fldChar w:fldCharType="separate"/>
          </w:r>
          <w:r>
            <w:t>129</w:t>
          </w:r>
          <w:r>
            <w:rPr>
              <w:rFonts w:hint="eastAsia"/>
            </w:rPr>
            <w:fldChar w:fldCharType="end"/>
          </w:r>
          <w:r>
            <w:rPr>
              <w:rFonts w:hint="eastAsia"/>
            </w:rPr>
            <w:fldChar w:fldCharType="end"/>
          </w:r>
        </w:p>
        <w:p w14:paraId="03E8B63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"_Toc198652141" </w:instrText>
          </w:r>
          <w:r>
            <w:fldChar w:fldCharType="separate"/>
          </w:r>
          <w:r>
            <w:rPr>
              <w:rStyle w:val="22"/>
              <w:rFonts w:hint="eastAsia" w:eastAsia="黑体" w:cs="Times New Roman"/>
              <w:kern w:val="0"/>
            </w:rPr>
            <w:t>10.6综合评价结论</w:t>
          </w:r>
          <w:r>
            <w:rPr>
              <w:rFonts w:hint="eastAsia"/>
            </w:rPr>
            <w:tab/>
          </w:r>
          <w:r>
            <w:rPr>
              <w:rFonts w:hint="eastAsia"/>
            </w:rPr>
            <w:fldChar w:fldCharType="begin"/>
          </w:r>
          <w:r>
            <w:rPr>
              <w:rFonts w:hint="eastAsia"/>
            </w:rPr>
            <w:instrText xml:space="preserve"> </w:instrText>
          </w:r>
          <w:r>
            <w:instrText xml:space="preserve">PAGEREF _Toc198652141 \h</w:instrText>
          </w:r>
          <w:r>
            <w:rPr>
              <w:rFonts w:hint="eastAsia"/>
            </w:rPr>
            <w:instrText xml:space="preserve"> </w:instrText>
          </w:r>
          <w:r>
            <w:rPr>
              <w:rFonts w:hint="eastAsia"/>
            </w:rPr>
            <w:fldChar w:fldCharType="separate"/>
          </w:r>
          <w:r>
            <w:t>130</w:t>
          </w:r>
          <w:r>
            <w:rPr>
              <w:rFonts w:hint="eastAsia"/>
            </w:rPr>
            <w:fldChar w:fldCharType="end"/>
          </w:r>
          <w:r>
            <w:rPr>
              <w:rFonts w:hint="eastAsia"/>
            </w:rPr>
            <w:fldChar w:fldCharType="end"/>
          </w:r>
        </w:p>
        <w:p w14:paraId="11A35A2A">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"_Toc198652142" </w:instrText>
          </w:r>
          <w:r>
            <w:fldChar w:fldCharType="separate"/>
          </w:r>
          <w:r>
            <w:rPr>
              <w:rStyle w:val="22"/>
              <w:rFonts w:hint="eastAsia" w:eastAsia="黑体" w:cs="Times New Roman"/>
            </w:rPr>
            <w:t>11保障措施</w:t>
          </w:r>
          <w:r>
            <w:rPr>
              <w:rFonts w:hint="eastAsia"/>
            </w:rPr>
            <w:tab/>
          </w:r>
          <w:r>
            <w:rPr>
              <w:rFonts w:hint="eastAsia"/>
            </w:rPr>
            <w:fldChar w:fldCharType="begin"/>
          </w:r>
          <w:r>
            <w:rPr>
              <w:rFonts w:hint="eastAsia"/>
            </w:rPr>
            <w:instrText xml:space="preserve"> </w:instrText>
          </w:r>
          <w:r>
            <w:instrText xml:space="preserve">PAGEREF _Toc198652142 \h</w:instrText>
          </w:r>
          <w:r>
            <w:rPr>
              <w:rFonts w:hint="eastAsia"/>
            </w:rPr>
            <w:instrText xml:space="preserve"> </w:instrText>
          </w:r>
          <w:r>
            <w:rPr>
              <w:rFonts w:hint="eastAsia"/>
            </w:rPr>
            <w:fldChar w:fldCharType="separate"/>
          </w:r>
          <w:r>
            <w:t>131</w:t>
          </w:r>
          <w:r>
            <w:rPr>
              <w:rFonts w:hint="eastAsia"/>
            </w:rPr>
            <w:fldChar w:fldCharType="end"/>
          </w:r>
          <w:r>
            <w:rPr>
              <w:rFonts w:hint="eastAsia"/>
            </w:rPr>
            <w:fldChar w:fldCharType="end"/>
          </w:r>
        </w:p>
        <w:p w14:paraId="42C6AC3D">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"_Toc198652143" </w:instrText>
          </w:r>
          <w:r>
            <w:fldChar w:fldCharType="separate"/>
          </w:r>
          <w:r>
            <w:rPr>
              <w:rStyle w:val="22"/>
              <w:rFonts w:hint="eastAsia" w:eastAsia="黑体" w:cs="Times New Roman"/>
              <w:kern w:val="0"/>
            </w:rPr>
            <w:t>11.1加强组织领导</w:t>
          </w:r>
          <w:r>
            <w:rPr>
              <w:rFonts w:hint="eastAsia"/>
            </w:rPr>
            <w:tab/>
          </w:r>
          <w:r>
            <w:rPr>
              <w:rFonts w:hint="eastAsia"/>
            </w:rPr>
            <w:fldChar w:fldCharType="begin"/>
          </w:r>
          <w:r>
            <w:rPr>
              <w:rFonts w:hint="eastAsia"/>
            </w:rPr>
            <w:instrText xml:space="preserve"> </w:instrText>
          </w:r>
          <w:r>
            <w:instrText xml:space="preserve">PAGEREF _Toc198652143 \h</w:instrText>
          </w:r>
          <w:r>
            <w:rPr>
              <w:rFonts w:hint="eastAsia"/>
            </w:rPr>
            <w:instrText xml:space="preserve"> </w:instrText>
          </w:r>
          <w:r>
            <w:rPr>
              <w:rFonts w:hint="eastAsia"/>
            </w:rPr>
            <w:fldChar w:fldCharType="separate"/>
          </w:r>
          <w:r>
            <w:t>131</w:t>
          </w:r>
          <w:r>
            <w:rPr>
              <w:rFonts w:hint="eastAsia"/>
            </w:rPr>
            <w:fldChar w:fldCharType="end"/>
          </w:r>
          <w:r>
            <w:rPr>
              <w:rFonts w:hint="eastAsia"/>
            </w:rPr>
            <w:fldChar w:fldCharType="end"/>
          </w:r>
        </w:p>
        <w:p w14:paraId="5ACA75B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"_Toc198652144" </w:instrText>
          </w:r>
          <w:r>
            <w:fldChar w:fldCharType="separate"/>
          </w:r>
          <w:r>
            <w:rPr>
              <w:rStyle w:val="22"/>
              <w:rFonts w:hint="eastAsia" w:eastAsia="黑体" w:cs="Times New Roman"/>
              <w:kern w:val="0"/>
            </w:rPr>
            <w:t>11.2强化前期工作</w:t>
          </w:r>
          <w:r>
            <w:rPr>
              <w:rFonts w:hint="eastAsia"/>
            </w:rPr>
            <w:tab/>
          </w:r>
          <w:r>
            <w:rPr>
              <w:rFonts w:hint="eastAsia"/>
            </w:rPr>
            <w:fldChar w:fldCharType="begin"/>
          </w:r>
          <w:r>
            <w:rPr>
              <w:rFonts w:hint="eastAsia"/>
            </w:rPr>
            <w:instrText xml:space="preserve"> </w:instrText>
          </w:r>
          <w:r>
            <w:instrText xml:space="preserve">PAGEREF _Toc198652144 \h</w:instrText>
          </w:r>
          <w:r>
            <w:rPr>
              <w:rFonts w:hint="eastAsia"/>
            </w:rPr>
            <w:instrText xml:space="preserve"> </w:instrText>
          </w:r>
          <w:r>
            <w:rPr>
              <w:rFonts w:hint="eastAsia"/>
            </w:rPr>
            <w:fldChar w:fldCharType="separate"/>
          </w:r>
          <w:r>
            <w:t>131</w:t>
          </w:r>
          <w:r>
            <w:rPr>
              <w:rFonts w:hint="eastAsia"/>
            </w:rPr>
            <w:fldChar w:fldCharType="end"/>
          </w:r>
          <w:r>
            <w:rPr>
              <w:rFonts w:hint="eastAsia"/>
            </w:rPr>
            <w:fldChar w:fldCharType="end"/>
          </w:r>
        </w:p>
        <w:p w14:paraId="24134B0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"_Toc198652145" </w:instrText>
          </w:r>
          <w:r>
            <w:fldChar w:fldCharType="separate"/>
          </w:r>
          <w:r>
            <w:rPr>
              <w:rStyle w:val="22"/>
              <w:rFonts w:hint="eastAsia" w:eastAsia="黑体" w:cs="Times New Roman"/>
              <w:kern w:val="0"/>
            </w:rPr>
            <w:t>11.3加大资金投入</w:t>
          </w:r>
          <w:r>
            <w:rPr>
              <w:rFonts w:hint="eastAsia"/>
            </w:rPr>
            <w:tab/>
          </w:r>
          <w:r>
            <w:rPr>
              <w:rFonts w:hint="eastAsia"/>
            </w:rPr>
            <w:fldChar w:fldCharType="begin"/>
          </w:r>
          <w:r>
            <w:rPr>
              <w:rFonts w:hint="eastAsia"/>
            </w:rPr>
            <w:instrText xml:space="preserve"> </w:instrText>
          </w:r>
          <w:r>
            <w:instrText xml:space="preserve">PAGEREF _Toc198652145 \h</w:instrText>
          </w:r>
          <w:r>
            <w:rPr>
              <w:rFonts w:hint="eastAsia"/>
            </w:rPr>
            <w:instrText xml:space="preserve"> </w:instrText>
          </w:r>
          <w:r>
            <w:rPr>
              <w:rFonts w:hint="eastAsia"/>
            </w:rPr>
            <w:fldChar w:fldCharType="separate"/>
          </w:r>
          <w:r>
            <w:t>132</w:t>
          </w:r>
          <w:r>
            <w:rPr>
              <w:rFonts w:hint="eastAsia"/>
            </w:rPr>
            <w:fldChar w:fldCharType="end"/>
          </w:r>
          <w:r>
            <w:rPr>
              <w:rFonts w:hint="eastAsia"/>
            </w:rPr>
            <w:fldChar w:fldCharType="end"/>
          </w:r>
        </w:p>
        <w:p w14:paraId="1332C31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"_Toc198652146" </w:instrText>
          </w:r>
          <w:r>
            <w:fldChar w:fldCharType="separate"/>
          </w:r>
          <w:r>
            <w:rPr>
              <w:rStyle w:val="22"/>
              <w:rFonts w:hint="eastAsia" w:eastAsia="黑体" w:cs="Times New Roman"/>
              <w:kern w:val="0"/>
            </w:rPr>
            <w:t>11.4加强法治保障</w:t>
          </w:r>
          <w:r>
            <w:rPr>
              <w:rFonts w:hint="eastAsia"/>
            </w:rPr>
            <w:tab/>
          </w:r>
          <w:r>
            <w:rPr>
              <w:rFonts w:hint="eastAsia"/>
            </w:rPr>
            <w:fldChar w:fldCharType="begin"/>
          </w:r>
          <w:r>
            <w:rPr>
              <w:rFonts w:hint="eastAsia"/>
            </w:rPr>
            <w:instrText xml:space="preserve"> </w:instrText>
          </w:r>
          <w:r>
            <w:instrText xml:space="preserve">PAGEREF _Toc198652146 \h</w:instrText>
          </w:r>
          <w:r>
            <w:rPr>
              <w:rFonts w:hint="eastAsia"/>
            </w:rPr>
            <w:instrText xml:space="preserve"> </w:instrText>
          </w:r>
          <w:r>
            <w:rPr>
              <w:rFonts w:hint="eastAsia"/>
            </w:rPr>
            <w:fldChar w:fldCharType="separate"/>
          </w:r>
          <w:r>
            <w:t>132</w:t>
          </w:r>
          <w:r>
            <w:rPr>
              <w:rFonts w:hint="eastAsia"/>
            </w:rPr>
            <w:fldChar w:fldCharType="end"/>
          </w:r>
          <w:r>
            <w:rPr>
              <w:rFonts w:hint="eastAsia"/>
            </w:rPr>
            <w:fldChar w:fldCharType="end"/>
          </w:r>
        </w:p>
        <w:p w14:paraId="1D73C20B">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"_Toc198652147" </w:instrText>
          </w:r>
          <w:r>
            <w:fldChar w:fldCharType="separate"/>
          </w:r>
          <w:r>
            <w:rPr>
              <w:rStyle w:val="22"/>
              <w:rFonts w:hint="eastAsia" w:eastAsia="黑体" w:cs="Times New Roman"/>
              <w:kern w:val="0"/>
            </w:rPr>
            <w:t>11.5加强科技支撑</w:t>
          </w:r>
          <w:r>
            <w:rPr>
              <w:rFonts w:hint="eastAsia"/>
            </w:rPr>
            <w:tab/>
          </w:r>
          <w:r>
            <w:rPr>
              <w:rFonts w:hint="eastAsia"/>
            </w:rPr>
            <w:fldChar w:fldCharType="begin"/>
          </w:r>
          <w:r>
            <w:rPr>
              <w:rFonts w:hint="eastAsia"/>
            </w:rPr>
            <w:instrText xml:space="preserve"> </w:instrText>
          </w:r>
          <w:r>
            <w:instrText xml:space="preserve">PAGEREF _Toc198652147 \h</w:instrText>
          </w:r>
          <w:r>
            <w:rPr>
              <w:rFonts w:hint="eastAsia"/>
            </w:rPr>
            <w:instrText xml:space="preserve"> </w:instrText>
          </w:r>
          <w:r>
            <w:rPr>
              <w:rFonts w:hint="eastAsia"/>
            </w:rPr>
            <w:fldChar w:fldCharType="separate"/>
          </w:r>
          <w:r>
            <w:t>133</w:t>
          </w:r>
          <w:r>
            <w:rPr>
              <w:rFonts w:hint="eastAsia"/>
            </w:rPr>
            <w:fldChar w:fldCharType="end"/>
          </w:r>
          <w:r>
            <w:rPr>
              <w:rFonts w:hint="eastAsia"/>
            </w:rPr>
            <w:fldChar w:fldCharType="end"/>
          </w:r>
        </w:p>
        <w:p w14:paraId="7CE7F4A9">
          <w:pPr>
            <w:pStyle w:val="13"/>
            <w:tabs>
              <w:tab w:val="right" w:leader="dot" w:pos="8296"/>
            </w:tabs>
            <w:rPr>
              <w:rFonts w:hint="eastAsia" w:asciiTheme="minorHAnsi" w:hAnsiTheme="minorHAnsi" w:eastAsiaTheme="minorEastAsia"/>
              <w:sz w:val="22"/>
              <w:szCs w:val="24"/>
              <w14:ligatures w14:val="standardContextual"/>
            </w:rPr>
          </w:pPr>
          <w:r>
            <w:fldChar w:fldCharType="begin"/>
          </w:r>
          <w:r>
            <w:instrText xml:space="preserve"> HYPERLINK \l "_Toc198652148" </w:instrText>
          </w:r>
          <w:r>
            <w:fldChar w:fldCharType="separate"/>
          </w:r>
          <w:r>
            <w:rPr>
              <w:rStyle w:val="22"/>
              <w:rFonts w:hint="eastAsia" w:eastAsia="黑体" w:cs="Times New Roman"/>
            </w:rPr>
            <w:t>附表</w:t>
          </w:r>
          <w:r>
            <w:rPr>
              <w:rFonts w:hint="eastAsia"/>
            </w:rPr>
            <w:tab/>
          </w:r>
          <w:r>
            <w:rPr>
              <w:rFonts w:hint="eastAsia"/>
            </w:rPr>
            <w:fldChar w:fldCharType="begin"/>
          </w:r>
          <w:r>
            <w:rPr>
              <w:rFonts w:hint="eastAsia"/>
            </w:rPr>
            <w:instrText xml:space="preserve"> </w:instrText>
          </w:r>
          <w:r>
            <w:instrText xml:space="preserve">PAGEREF _Toc198652148 \h</w:instrText>
          </w:r>
          <w:r>
            <w:rPr>
              <w:rFonts w:hint="eastAsia"/>
            </w:rPr>
            <w:instrText xml:space="preserve"> </w:instrText>
          </w:r>
          <w:r>
            <w:rPr>
              <w:rFonts w:hint="eastAsia"/>
            </w:rPr>
            <w:fldChar w:fldCharType="separate"/>
          </w:r>
          <w:r>
            <w:t>135</w:t>
          </w:r>
          <w:r>
            <w:rPr>
              <w:rFonts w:hint="eastAsia"/>
            </w:rPr>
            <w:fldChar w:fldCharType="end"/>
          </w:r>
          <w:r>
            <w:rPr>
              <w:rFonts w:hint="eastAsia"/>
            </w:rPr>
            <w:fldChar w:fldCharType="end"/>
          </w:r>
        </w:p>
        <w:p w14:paraId="69A20156">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"_Toc198652149" </w:instrText>
          </w:r>
          <w:r>
            <w:fldChar w:fldCharType="separate"/>
          </w:r>
          <w:r>
            <w:rPr>
              <w:rStyle w:val="22"/>
              <w:rFonts w:hint="eastAsia" w:eastAsia="黑体" w:cs="Times New Roman"/>
              <w:kern w:val="0"/>
            </w:rPr>
            <w:t>附表1  九原区境内主要河流基本情况表</w:t>
          </w:r>
          <w:r>
            <w:rPr>
              <w:rFonts w:hint="eastAsia"/>
            </w:rPr>
            <w:tab/>
          </w:r>
          <w:r>
            <w:rPr>
              <w:rFonts w:hint="eastAsia"/>
            </w:rPr>
            <w:fldChar w:fldCharType="begin"/>
          </w:r>
          <w:r>
            <w:rPr>
              <w:rFonts w:hint="eastAsia"/>
            </w:rPr>
            <w:instrText xml:space="preserve"> </w:instrText>
          </w:r>
          <w:r>
            <w:instrText xml:space="preserve">PAGEREF _Toc198652149 \h</w:instrText>
          </w:r>
          <w:r>
            <w:rPr>
              <w:rFonts w:hint="eastAsia"/>
            </w:rPr>
            <w:instrText xml:space="preserve"> </w:instrText>
          </w:r>
          <w:r>
            <w:rPr>
              <w:rFonts w:hint="eastAsia"/>
            </w:rPr>
            <w:fldChar w:fldCharType="separate"/>
          </w:r>
          <w:r>
            <w:t>135</w:t>
          </w:r>
          <w:r>
            <w:rPr>
              <w:rFonts w:hint="eastAsia"/>
            </w:rPr>
            <w:fldChar w:fldCharType="end"/>
          </w:r>
          <w:r>
            <w:rPr>
              <w:rFonts w:hint="eastAsia"/>
            </w:rPr>
            <w:fldChar w:fldCharType="end"/>
          </w:r>
        </w:p>
        <w:p w14:paraId="071A2985">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"_Toc198652150" </w:instrText>
          </w:r>
          <w:r>
            <w:fldChar w:fldCharType="separate"/>
          </w:r>
          <w:r>
            <w:rPr>
              <w:rStyle w:val="22"/>
              <w:rFonts w:hint="eastAsia" w:eastAsia="黑体" w:cs="Times New Roman"/>
              <w:kern w:val="0"/>
            </w:rPr>
            <w:t>附表2  九原区已建中型灌区基本情况</w:t>
          </w:r>
          <w:r>
            <w:rPr>
              <w:rFonts w:hint="eastAsia"/>
            </w:rPr>
            <w:tab/>
          </w:r>
          <w:r>
            <w:rPr>
              <w:rFonts w:hint="eastAsia"/>
            </w:rPr>
            <w:fldChar w:fldCharType="begin"/>
          </w:r>
          <w:r>
            <w:rPr>
              <w:rFonts w:hint="eastAsia"/>
            </w:rPr>
            <w:instrText xml:space="preserve"> </w:instrText>
          </w:r>
          <w:r>
            <w:instrText xml:space="preserve">PAGEREF _Toc198652150 \h</w:instrText>
          </w:r>
          <w:r>
            <w:rPr>
              <w:rFonts w:hint="eastAsia"/>
            </w:rPr>
            <w:instrText xml:space="preserve"> </w:instrText>
          </w:r>
          <w:r>
            <w:rPr>
              <w:rFonts w:hint="eastAsia"/>
            </w:rPr>
            <w:fldChar w:fldCharType="separate"/>
          </w:r>
          <w:r>
            <w:t>136</w:t>
          </w:r>
          <w:r>
            <w:rPr>
              <w:rFonts w:hint="eastAsia"/>
            </w:rPr>
            <w:fldChar w:fldCharType="end"/>
          </w:r>
          <w:r>
            <w:rPr>
              <w:rFonts w:hint="eastAsia"/>
            </w:rPr>
            <w:fldChar w:fldCharType="end"/>
          </w:r>
        </w:p>
        <w:p w14:paraId="11B78EAA">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"_Toc198652151" </w:instrText>
          </w:r>
          <w:r>
            <w:fldChar w:fldCharType="separate"/>
          </w:r>
          <w:r>
            <w:rPr>
              <w:rStyle w:val="22"/>
              <w:rFonts w:hint="eastAsia" w:eastAsia="黑体" w:cs="Times New Roman"/>
              <w:kern w:val="0"/>
            </w:rPr>
            <w:t>附表3  九原区经济社会发展指标表</w:t>
          </w:r>
          <w:r>
            <w:rPr>
              <w:rFonts w:hint="eastAsia"/>
            </w:rPr>
            <w:tab/>
          </w:r>
          <w:r>
            <w:rPr>
              <w:rFonts w:hint="eastAsia"/>
            </w:rPr>
            <w:fldChar w:fldCharType="begin"/>
          </w:r>
          <w:r>
            <w:rPr>
              <w:rFonts w:hint="eastAsia"/>
            </w:rPr>
            <w:instrText xml:space="preserve"> </w:instrText>
          </w:r>
          <w:r>
            <w:instrText xml:space="preserve">PAGEREF _Toc198652151 \h</w:instrText>
          </w:r>
          <w:r>
            <w:rPr>
              <w:rFonts w:hint="eastAsia"/>
            </w:rPr>
            <w:instrText xml:space="preserve"> </w:instrText>
          </w:r>
          <w:r>
            <w:rPr>
              <w:rFonts w:hint="eastAsia"/>
            </w:rPr>
            <w:fldChar w:fldCharType="separate"/>
          </w:r>
          <w:r>
            <w:t>137</w:t>
          </w:r>
          <w:r>
            <w:rPr>
              <w:rFonts w:hint="eastAsia"/>
            </w:rPr>
            <w:fldChar w:fldCharType="end"/>
          </w:r>
          <w:r>
            <w:rPr>
              <w:rFonts w:hint="eastAsia"/>
            </w:rPr>
            <w:fldChar w:fldCharType="end"/>
          </w:r>
        </w:p>
        <w:p w14:paraId="49E8BDD7">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"_Toc198652152" </w:instrText>
          </w:r>
          <w:r>
            <w:fldChar w:fldCharType="separate"/>
          </w:r>
          <w:r>
            <w:rPr>
              <w:rStyle w:val="22"/>
              <w:rFonts w:hint="eastAsia" w:eastAsia="黑体" w:cs="Times New Roman"/>
              <w:kern w:val="0"/>
            </w:rPr>
            <w:t>附表4  九原区现状年用水总量和强度目标完成情况表</w:t>
          </w:r>
          <w:r>
            <w:rPr>
              <w:rFonts w:hint="eastAsia"/>
            </w:rPr>
            <w:tab/>
          </w:r>
          <w:r>
            <w:rPr>
              <w:rFonts w:hint="eastAsia"/>
            </w:rPr>
            <w:fldChar w:fldCharType="begin"/>
          </w:r>
          <w:r>
            <w:rPr>
              <w:rFonts w:hint="eastAsia"/>
            </w:rPr>
            <w:instrText xml:space="preserve"> </w:instrText>
          </w:r>
          <w:r>
            <w:instrText xml:space="preserve">PAGEREF _Toc198652152 \h</w:instrText>
          </w:r>
          <w:r>
            <w:rPr>
              <w:rFonts w:hint="eastAsia"/>
            </w:rPr>
            <w:instrText xml:space="preserve"> </w:instrText>
          </w:r>
          <w:r>
            <w:rPr>
              <w:rFonts w:hint="eastAsia"/>
            </w:rPr>
            <w:fldChar w:fldCharType="separate"/>
          </w:r>
          <w:r>
            <w:t>138</w:t>
          </w:r>
          <w:r>
            <w:rPr>
              <w:rFonts w:hint="eastAsia"/>
            </w:rPr>
            <w:fldChar w:fldCharType="end"/>
          </w:r>
          <w:r>
            <w:rPr>
              <w:rFonts w:hint="eastAsia"/>
            </w:rPr>
            <w:fldChar w:fldCharType="end"/>
          </w:r>
        </w:p>
        <w:p w14:paraId="00C7AFC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"_Toc198652153" </w:instrText>
          </w:r>
          <w:r>
            <w:fldChar w:fldCharType="separate"/>
          </w:r>
          <w:r>
            <w:rPr>
              <w:rStyle w:val="22"/>
              <w:rFonts w:hint="eastAsia" w:eastAsia="黑体" w:cs="Times New Roman"/>
              <w:kern w:val="0"/>
            </w:rPr>
            <w:t>附表5  九原区</w:t>
          </w:r>
          <w:r>
            <w:rPr>
              <w:rStyle w:val="22"/>
              <w:rFonts w:hint="eastAsia"/>
            </w:rPr>
            <w:t>现状水利工程基本情况表</w:t>
          </w:r>
          <w:r>
            <w:rPr>
              <w:rFonts w:hint="eastAsia"/>
            </w:rPr>
            <w:tab/>
          </w:r>
          <w:r>
            <w:rPr>
              <w:rFonts w:hint="eastAsia"/>
            </w:rPr>
            <w:fldChar w:fldCharType="begin"/>
          </w:r>
          <w:r>
            <w:rPr>
              <w:rFonts w:hint="eastAsia"/>
            </w:rPr>
            <w:instrText xml:space="preserve"> </w:instrText>
          </w:r>
          <w:r>
            <w:instrText xml:space="preserve">PAGEREF _Toc198652153 \h</w:instrText>
          </w:r>
          <w:r>
            <w:rPr>
              <w:rFonts w:hint="eastAsia"/>
            </w:rPr>
            <w:instrText xml:space="preserve"> </w:instrText>
          </w:r>
          <w:r>
            <w:rPr>
              <w:rFonts w:hint="eastAsia"/>
            </w:rPr>
            <w:fldChar w:fldCharType="separate"/>
          </w:r>
          <w:r>
            <w:t>139</w:t>
          </w:r>
          <w:r>
            <w:rPr>
              <w:rFonts w:hint="eastAsia"/>
            </w:rPr>
            <w:fldChar w:fldCharType="end"/>
          </w:r>
          <w:r>
            <w:rPr>
              <w:rFonts w:hint="eastAsia"/>
            </w:rPr>
            <w:fldChar w:fldCharType="end"/>
          </w:r>
        </w:p>
        <w:p w14:paraId="07AF5AD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"_Toc198652154" </w:instrText>
          </w:r>
          <w:r>
            <w:fldChar w:fldCharType="separate"/>
          </w:r>
          <w:r>
            <w:rPr>
              <w:rStyle w:val="22"/>
              <w:rFonts w:hint="eastAsia" w:eastAsia="黑体" w:cs="Times New Roman"/>
              <w:kern w:val="0"/>
            </w:rPr>
            <w:t>附表6  九原区水网规划项目表</w:t>
          </w:r>
          <w:r>
            <w:rPr>
              <w:rFonts w:hint="eastAsia"/>
            </w:rPr>
            <w:tab/>
          </w:r>
          <w:r>
            <w:rPr>
              <w:rFonts w:hint="eastAsia"/>
            </w:rPr>
            <w:fldChar w:fldCharType="begin"/>
          </w:r>
          <w:r>
            <w:rPr>
              <w:rFonts w:hint="eastAsia"/>
            </w:rPr>
            <w:instrText xml:space="preserve"> </w:instrText>
          </w:r>
          <w:r>
            <w:instrText xml:space="preserve">PAGEREF _Toc198652154 \h</w:instrText>
          </w:r>
          <w:r>
            <w:rPr>
              <w:rFonts w:hint="eastAsia"/>
            </w:rPr>
            <w:instrText xml:space="preserve"> </w:instrText>
          </w:r>
          <w:r>
            <w:rPr>
              <w:rFonts w:hint="eastAsia"/>
            </w:rPr>
            <w:fldChar w:fldCharType="separate"/>
          </w:r>
          <w:r>
            <w:t>140</w:t>
          </w:r>
          <w:r>
            <w:rPr>
              <w:rFonts w:hint="eastAsia"/>
            </w:rPr>
            <w:fldChar w:fldCharType="end"/>
          </w:r>
          <w:r>
            <w:rPr>
              <w:rFonts w:hint="eastAsia"/>
            </w:rPr>
            <w:fldChar w:fldCharType="end"/>
          </w:r>
        </w:p>
        <w:p w14:paraId="6D3D5D2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"_Toc198652155" </w:instrText>
          </w:r>
          <w:r>
            <w:fldChar w:fldCharType="separate"/>
          </w:r>
          <w:r>
            <w:rPr>
              <w:rStyle w:val="22"/>
              <w:rFonts w:hint="eastAsia" w:eastAsia="黑体" w:cs="Times New Roman"/>
              <w:kern w:val="0"/>
            </w:rPr>
            <w:t>附图1  九原区行政区划图</w:t>
          </w:r>
          <w:r>
            <w:rPr>
              <w:rFonts w:hint="eastAsia"/>
            </w:rPr>
            <w:tab/>
          </w:r>
          <w:r>
            <w:rPr>
              <w:rFonts w:hint="eastAsia"/>
            </w:rPr>
            <w:fldChar w:fldCharType="begin"/>
          </w:r>
          <w:r>
            <w:rPr>
              <w:rFonts w:hint="eastAsia"/>
            </w:rPr>
            <w:instrText xml:space="preserve"> </w:instrText>
          </w:r>
          <w:r>
            <w:instrText xml:space="preserve">PAGEREF _Toc198652155 \h</w:instrText>
          </w:r>
          <w:r>
            <w:rPr>
              <w:rFonts w:hint="eastAsia"/>
            </w:rPr>
            <w:instrText xml:space="preserve"> </w:instrText>
          </w:r>
          <w:r>
            <w:rPr>
              <w:rFonts w:hint="eastAsia"/>
            </w:rPr>
            <w:fldChar w:fldCharType="separate"/>
          </w:r>
          <w:r>
            <w:t>141</w:t>
          </w:r>
          <w:r>
            <w:rPr>
              <w:rFonts w:hint="eastAsia"/>
            </w:rPr>
            <w:fldChar w:fldCharType="end"/>
          </w:r>
          <w:r>
            <w:rPr>
              <w:rFonts w:hint="eastAsia"/>
            </w:rPr>
            <w:fldChar w:fldCharType="end"/>
          </w:r>
        </w:p>
        <w:p w14:paraId="662C4F9D">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"_Toc198652156" </w:instrText>
          </w:r>
          <w:r>
            <w:fldChar w:fldCharType="separate"/>
          </w:r>
          <w:r>
            <w:rPr>
              <w:rStyle w:val="22"/>
              <w:rFonts w:hint="eastAsia" w:eastAsia="黑体" w:cs="Times New Roman"/>
              <w:kern w:val="0"/>
            </w:rPr>
            <w:t>附图2  九原区地形地貌图</w:t>
          </w:r>
          <w:r>
            <w:rPr>
              <w:rFonts w:hint="eastAsia"/>
            </w:rPr>
            <w:tab/>
          </w:r>
          <w:r>
            <w:rPr>
              <w:rFonts w:hint="eastAsia"/>
            </w:rPr>
            <w:fldChar w:fldCharType="begin"/>
          </w:r>
          <w:r>
            <w:rPr>
              <w:rFonts w:hint="eastAsia"/>
            </w:rPr>
            <w:instrText xml:space="preserve"> </w:instrText>
          </w:r>
          <w:r>
            <w:instrText xml:space="preserve">PAGEREF _Toc198652156 \h</w:instrText>
          </w:r>
          <w:r>
            <w:rPr>
              <w:rFonts w:hint="eastAsia"/>
            </w:rPr>
            <w:instrText xml:space="preserve"> </w:instrText>
          </w:r>
          <w:r>
            <w:rPr>
              <w:rFonts w:hint="eastAsia"/>
            </w:rPr>
            <w:fldChar w:fldCharType="separate"/>
          </w:r>
          <w:r>
            <w:t>142</w:t>
          </w:r>
          <w:r>
            <w:rPr>
              <w:rFonts w:hint="eastAsia"/>
            </w:rPr>
            <w:fldChar w:fldCharType="end"/>
          </w:r>
          <w:r>
            <w:rPr>
              <w:rFonts w:hint="eastAsia"/>
            </w:rPr>
            <w:fldChar w:fldCharType="end"/>
          </w:r>
        </w:p>
        <w:p w14:paraId="4CF72E8C">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"_Toc198652157" </w:instrText>
          </w:r>
          <w:r>
            <w:fldChar w:fldCharType="separate"/>
          </w:r>
          <w:r>
            <w:rPr>
              <w:rStyle w:val="22"/>
              <w:rFonts w:hint="eastAsia" w:eastAsia="黑体" w:cs="Times New Roman"/>
              <w:kern w:val="0"/>
            </w:rPr>
            <w:t>附图3  包头市九原区河流水系图</w:t>
          </w:r>
          <w:r>
            <w:rPr>
              <w:rFonts w:hint="eastAsia"/>
            </w:rPr>
            <w:tab/>
          </w:r>
          <w:r>
            <w:rPr>
              <w:rFonts w:hint="eastAsia"/>
            </w:rPr>
            <w:fldChar w:fldCharType="begin"/>
          </w:r>
          <w:r>
            <w:rPr>
              <w:rFonts w:hint="eastAsia"/>
            </w:rPr>
            <w:instrText xml:space="preserve"> </w:instrText>
          </w:r>
          <w:r>
            <w:instrText xml:space="preserve">PAGEREF _Toc198652157 \h</w:instrText>
          </w:r>
          <w:r>
            <w:rPr>
              <w:rFonts w:hint="eastAsia"/>
            </w:rPr>
            <w:instrText xml:space="preserve"> </w:instrText>
          </w:r>
          <w:r>
            <w:rPr>
              <w:rFonts w:hint="eastAsia"/>
            </w:rPr>
            <w:fldChar w:fldCharType="separate"/>
          </w:r>
          <w:r>
            <w:t>143</w:t>
          </w:r>
          <w:r>
            <w:rPr>
              <w:rFonts w:hint="eastAsia"/>
            </w:rPr>
            <w:fldChar w:fldCharType="end"/>
          </w:r>
          <w:r>
            <w:rPr>
              <w:rFonts w:hint="eastAsia"/>
            </w:rPr>
            <w:fldChar w:fldCharType="end"/>
          </w:r>
        </w:p>
        <w:p w14:paraId="41C19C02">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"_Toc198652158" </w:instrText>
          </w:r>
          <w:r>
            <w:fldChar w:fldCharType="separate"/>
          </w:r>
          <w:r>
            <w:rPr>
              <w:rStyle w:val="22"/>
              <w:rFonts w:hint="eastAsia" w:eastAsia="黑体" w:cs="Times New Roman"/>
              <w:kern w:val="0"/>
            </w:rPr>
            <w:t>附图4  昆都仑河九原区段河道整治工程布置图</w:t>
          </w:r>
          <w:r>
            <w:rPr>
              <w:rFonts w:hint="eastAsia"/>
            </w:rPr>
            <w:tab/>
          </w:r>
          <w:r>
            <w:rPr>
              <w:rFonts w:hint="eastAsia"/>
            </w:rPr>
            <w:fldChar w:fldCharType="begin"/>
          </w:r>
          <w:r>
            <w:rPr>
              <w:rFonts w:hint="eastAsia"/>
            </w:rPr>
            <w:instrText xml:space="preserve"> </w:instrText>
          </w:r>
          <w:r>
            <w:instrText xml:space="preserve">PAGEREF _Toc198652158 \h</w:instrText>
          </w:r>
          <w:r>
            <w:rPr>
              <w:rFonts w:hint="eastAsia"/>
            </w:rPr>
            <w:instrText xml:space="preserve"> </w:instrText>
          </w:r>
          <w:r>
            <w:rPr>
              <w:rFonts w:hint="eastAsia"/>
            </w:rPr>
            <w:fldChar w:fldCharType="separate"/>
          </w:r>
          <w:r>
            <w:t>144</w:t>
          </w:r>
          <w:r>
            <w:rPr>
              <w:rFonts w:hint="eastAsia"/>
            </w:rPr>
            <w:fldChar w:fldCharType="end"/>
          </w:r>
          <w:r>
            <w:rPr>
              <w:rFonts w:hint="eastAsia"/>
            </w:rPr>
            <w:fldChar w:fldCharType="end"/>
          </w:r>
        </w:p>
        <w:p w14:paraId="3B8AC8D3">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"_Toc198652159" </w:instrText>
          </w:r>
          <w:r>
            <w:fldChar w:fldCharType="separate"/>
          </w:r>
          <w:r>
            <w:rPr>
              <w:rStyle w:val="22"/>
              <w:rFonts w:hint="eastAsia" w:eastAsia="黑体" w:cs="Times New Roman"/>
              <w:kern w:val="0"/>
            </w:rPr>
            <w:t>附图5  九原区梅力更沟河道治理工程布置图</w:t>
          </w:r>
          <w:r>
            <w:rPr>
              <w:rFonts w:hint="eastAsia"/>
            </w:rPr>
            <w:tab/>
          </w:r>
          <w:r>
            <w:rPr>
              <w:rFonts w:hint="eastAsia"/>
            </w:rPr>
            <w:fldChar w:fldCharType="begin"/>
          </w:r>
          <w:r>
            <w:rPr>
              <w:rFonts w:hint="eastAsia"/>
            </w:rPr>
            <w:instrText xml:space="preserve"> </w:instrText>
          </w:r>
          <w:r>
            <w:instrText xml:space="preserve">PAGEREF _Toc198652159 \h</w:instrText>
          </w:r>
          <w:r>
            <w:rPr>
              <w:rFonts w:hint="eastAsia"/>
            </w:rPr>
            <w:instrText xml:space="preserve"> </w:instrText>
          </w:r>
          <w:r>
            <w:rPr>
              <w:rFonts w:hint="eastAsia"/>
            </w:rPr>
            <w:fldChar w:fldCharType="separate"/>
          </w:r>
          <w:r>
            <w:t>145</w:t>
          </w:r>
          <w:r>
            <w:rPr>
              <w:rFonts w:hint="eastAsia"/>
            </w:rPr>
            <w:fldChar w:fldCharType="end"/>
          </w:r>
          <w:r>
            <w:rPr>
              <w:rFonts w:hint="eastAsia"/>
            </w:rPr>
            <w:fldChar w:fldCharType="end"/>
          </w:r>
        </w:p>
        <w:p w14:paraId="5647272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"_Toc198652160" </w:instrText>
          </w:r>
          <w:r>
            <w:fldChar w:fldCharType="separate"/>
          </w:r>
          <w:r>
            <w:rPr>
              <w:rStyle w:val="22"/>
              <w:rFonts w:hint="eastAsia" w:eastAsia="黑体" w:cs="Times New Roman"/>
              <w:kern w:val="0"/>
            </w:rPr>
            <w:t>附图6  九原区留宝窑子沟河道治理工程布置图</w:t>
          </w:r>
          <w:r>
            <w:rPr>
              <w:rFonts w:hint="eastAsia"/>
            </w:rPr>
            <w:tab/>
          </w:r>
          <w:r>
            <w:rPr>
              <w:rFonts w:hint="eastAsia"/>
            </w:rPr>
            <w:fldChar w:fldCharType="begin"/>
          </w:r>
          <w:r>
            <w:rPr>
              <w:rFonts w:hint="eastAsia"/>
            </w:rPr>
            <w:instrText xml:space="preserve"> </w:instrText>
          </w:r>
          <w:r>
            <w:instrText xml:space="preserve">PAGEREF _Toc198652160 \h</w:instrText>
          </w:r>
          <w:r>
            <w:rPr>
              <w:rFonts w:hint="eastAsia"/>
            </w:rPr>
            <w:instrText xml:space="preserve"> </w:instrText>
          </w:r>
          <w:r>
            <w:rPr>
              <w:rFonts w:hint="eastAsia"/>
            </w:rPr>
            <w:fldChar w:fldCharType="separate"/>
          </w:r>
          <w:r>
            <w:t>146</w:t>
          </w:r>
          <w:r>
            <w:rPr>
              <w:rFonts w:hint="eastAsia"/>
            </w:rPr>
            <w:fldChar w:fldCharType="end"/>
          </w:r>
          <w:r>
            <w:rPr>
              <w:rFonts w:hint="eastAsia"/>
            </w:rPr>
            <w:fldChar w:fldCharType="end"/>
          </w:r>
        </w:p>
        <w:p w14:paraId="02B627F0">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"_Toc198652161" </w:instrText>
          </w:r>
          <w:r>
            <w:fldChar w:fldCharType="separate"/>
          </w:r>
          <w:r>
            <w:rPr>
              <w:rStyle w:val="22"/>
              <w:rFonts w:hint="eastAsia" w:eastAsia="黑体" w:cs="Times New Roman"/>
              <w:kern w:val="0"/>
            </w:rPr>
            <w:t>附图7  九原区大坝沟沟河道治理工程布置图</w:t>
          </w:r>
          <w:r>
            <w:rPr>
              <w:rFonts w:hint="eastAsia"/>
            </w:rPr>
            <w:tab/>
          </w:r>
          <w:r>
            <w:rPr>
              <w:rFonts w:hint="eastAsia"/>
            </w:rPr>
            <w:fldChar w:fldCharType="begin"/>
          </w:r>
          <w:r>
            <w:rPr>
              <w:rFonts w:hint="eastAsia"/>
            </w:rPr>
            <w:instrText xml:space="preserve"> </w:instrText>
          </w:r>
          <w:r>
            <w:instrText xml:space="preserve">PAGEREF _Toc198652161 \h</w:instrText>
          </w:r>
          <w:r>
            <w:rPr>
              <w:rFonts w:hint="eastAsia"/>
            </w:rPr>
            <w:instrText xml:space="preserve"> </w:instrText>
          </w:r>
          <w:r>
            <w:rPr>
              <w:rFonts w:hint="eastAsia"/>
            </w:rPr>
            <w:fldChar w:fldCharType="separate"/>
          </w:r>
          <w:r>
            <w:t>147</w:t>
          </w:r>
          <w:r>
            <w:rPr>
              <w:rFonts w:hint="eastAsia"/>
            </w:rPr>
            <w:fldChar w:fldCharType="end"/>
          </w:r>
          <w:r>
            <w:rPr>
              <w:rFonts w:hint="eastAsia"/>
            </w:rPr>
            <w:fldChar w:fldCharType="end"/>
          </w:r>
        </w:p>
        <w:p w14:paraId="2126E613">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"_Toc198652162" </w:instrText>
          </w:r>
          <w:r>
            <w:fldChar w:fldCharType="separate"/>
          </w:r>
          <w:r>
            <w:rPr>
              <w:rStyle w:val="22"/>
              <w:rFonts w:hint="eastAsia" w:eastAsia="黑体" w:cs="Times New Roman"/>
              <w:kern w:val="0"/>
            </w:rPr>
            <w:t>附图8  九原区乌兰不浪沟河道治理工程布置图</w:t>
          </w:r>
          <w:r>
            <w:rPr>
              <w:rFonts w:hint="eastAsia"/>
            </w:rPr>
            <w:tab/>
          </w:r>
          <w:r>
            <w:rPr>
              <w:rFonts w:hint="eastAsia"/>
            </w:rPr>
            <w:fldChar w:fldCharType="begin"/>
          </w:r>
          <w:r>
            <w:rPr>
              <w:rFonts w:hint="eastAsia"/>
            </w:rPr>
            <w:instrText xml:space="preserve"> </w:instrText>
          </w:r>
          <w:r>
            <w:instrText xml:space="preserve">PAGEREF _Toc198652162 \h</w:instrText>
          </w:r>
          <w:r>
            <w:rPr>
              <w:rFonts w:hint="eastAsia"/>
            </w:rPr>
            <w:instrText xml:space="preserve"> </w:instrText>
          </w:r>
          <w:r>
            <w:rPr>
              <w:rFonts w:hint="eastAsia"/>
            </w:rPr>
            <w:fldChar w:fldCharType="separate"/>
          </w:r>
          <w:r>
            <w:t>148</w:t>
          </w:r>
          <w:r>
            <w:rPr>
              <w:rFonts w:hint="eastAsia"/>
            </w:rPr>
            <w:fldChar w:fldCharType="end"/>
          </w:r>
          <w:r>
            <w:rPr>
              <w:rFonts w:hint="eastAsia"/>
            </w:rPr>
            <w:fldChar w:fldCharType="end"/>
          </w:r>
        </w:p>
        <w:p w14:paraId="6C55301B">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"_Toc198652163" </w:instrText>
          </w:r>
          <w:r>
            <w:fldChar w:fldCharType="separate"/>
          </w:r>
          <w:r>
            <w:rPr>
              <w:rStyle w:val="22"/>
              <w:rFonts w:hint="eastAsia" w:eastAsia="黑体" w:cs="Times New Roman"/>
              <w:kern w:val="0"/>
            </w:rPr>
            <w:t>附图9  九原区白石头沟河道治理工程布置图</w:t>
          </w:r>
          <w:r>
            <w:rPr>
              <w:rFonts w:hint="eastAsia"/>
            </w:rPr>
            <w:tab/>
          </w:r>
          <w:r>
            <w:rPr>
              <w:rFonts w:hint="eastAsia"/>
            </w:rPr>
            <w:fldChar w:fldCharType="begin"/>
          </w:r>
          <w:r>
            <w:rPr>
              <w:rFonts w:hint="eastAsia"/>
            </w:rPr>
            <w:instrText xml:space="preserve"> </w:instrText>
          </w:r>
          <w:r>
            <w:instrText xml:space="preserve">PAGEREF _Toc198652163 \h</w:instrText>
          </w:r>
          <w:r>
            <w:rPr>
              <w:rFonts w:hint="eastAsia"/>
            </w:rPr>
            <w:instrText xml:space="preserve"> </w:instrText>
          </w:r>
          <w:r>
            <w:rPr>
              <w:rFonts w:hint="eastAsia"/>
            </w:rPr>
            <w:fldChar w:fldCharType="separate"/>
          </w:r>
          <w:r>
            <w:t>149</w:t>
          </w:r>
          <w:r>
            <w:rPr>
              <w:rFonts w:hint="eastAsia"/>
            </w:rPr>
            <w:fldChar w:fldCharType="end"/>
          </w:r>
          <w:r>
            <w:rPr>
              <w:rFonts w:hint="eastAsia"/>
            </w:rPr>
            <w:fldChar w:fldCharType="end"/>
          </w:r>
        </w:p>
        <w:p w14:paraId="1B237E69">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"_Toc198652164" </w:instrText>
          </w:r>
          <w:r>
            <w:fldChar w:fldCharType="separate"/>
          </w:r>
          <w:r>
            <w:rPr>
              <w:rStyle w:val="22"/>
              <w:rFonts w:hint="eastAsia" w:eastAsia="黑体" w:cs="Times New Roman"/>
              <w:kern w:val="0"/>
            </w:rPr>
            <w:t>附图10  九原区哈德门沟河道治理工程布置图</w:t>
          </w:r>
          <w:r>
            <w:rPr>
              <w:rFonts w:hint="eastAsia"/>
            </w:rPr>
            <w:tab/>
          </w:r>
          <w:r>
            <w:rPr>
              <w:rFonts w:hint="eastAsia"/>
            </w:rPr>
            <w:fldChar w:fldCharType="begin"/>
          </w:r>
          <w:r>
            <w:rPr>
              <w:rFonts w:hint="eastAsia"/>
            </w:rPr>
            <w:instrText xml:space="preserve"> </w:instrText>
          </w:r>
          <w:r>
            <w:instrText xml:space="preserve">PAGEREF _Toc198652164 \h</w:instrText>
          </w:r>
          <w:r>
            <w:rPr>
              <w:rFonts w:hint="eastAsia"/>
            </w:rPr>
            <w:instrText xml:space="preserve"> </w:instrText>
          </w:r>
          <w:r>
            <w:rPr>
              <w:rFonts w:hint="eastAsia"/>
            </w:rPr>
            <w:fldChar w:fldCharType="separate"/>
          </w:r>
          <w:r>
            <w:t>150</w:t>
          </w:r>
          <w:r>
            <w:rPr>
              <w:rFonts w:hint="eastAsia"/>
            </w:rPr>
            <w:fldChar w:fldCharType="end"/>
          </w:r>
          <w:r>
            <w:rPr>
              <w:rFonts w:hint="eastAsia"/>
            </w:rPr>
            <w:fldChar w:fldCharType="end"/>
          </w:r>
        </w:p>
        <w:p w14:paraId="3BB54CB3">
          <w:pPr>
            <w:pStyle w:val="16"/>
            <w:tabs>
              <w:tab w:val="right" w:leader="dot" w:pos="8296"/>
            </w:tabs>
            <w:ind w:left="480"/>
            <w:rPr>
              <w:rFonts w:hint="eastAsia" w:asciiTheme="minorHAnsi" w:hAnsiTheme="minorHAnsi" w:eastAsiaTheme="minorEastAsia"/>
              <w:sz w:val="22"/>
              <w:szCs w:val="24"/>
              <w14:ligatures w14:val="standardContextual"/>
            </w:rPr>
          </w:pPr>
          <w:r>
            <w:fldChar w:fldCharType="begin"/>
          </w:r>
          <w:r>
            <w:instrText xml:space="preserve"> HYPERLINK \l "_Toc198652165" </w:instrText>
          </w:r>
          <w:r>
            <w:fldChar w:fldCharType="separate"/>
          </w:r>
          <w:r>
            <w:rPr>
              <w:rStyle w:val="22"/>
              <w:rFonts w:hint="eastAsia" w:eastAsia="黑体" w:cs="Times New Roman"/>
              <w:kern w:val="0"/>
            </w:rPr>
            <w:t>附图11  九原区三湖河灌区图</w:t>
          </w:r>
          <w:r>
            <w:rPr>
              <w:rFonts w:hint="eastAsia"/>
            </w:rPr>
            <w:tab/>
          </w:r>
          <w:r>
            <w:rPr>
              <w:rFonts w:hint="eastAsia"/>
            </w:rPr>
            <w:fldChar w:fldCharType="begin"/>
          </w:r>
          <w:r>
            <w:rPr>
              <w:rFonts w:hint="eastAsia"/>
            </w:rPr>
            <w:instrText xml:space="preserve"> </w:instrText>
          </w:r>
          <w:r>
            <w:instrText xml:space="preserve">PAGEREF _Toc198652165 \h</w:instrText>
          </w:r>
          <w:r>
            <w:rPr>
              <w:rFonts w:hint="eastAsia"/>
            </w:rPr>
            <w:instrText xml:space="preserve"> </w:instrText>
          </w:r>
          <w:r>
            <w:rPr>
              <w:rFonts w:hint="eastAsia"/>
            </w:rPr>
            <w:fldChar w:fldCharType="separate"/>
          </w:r>
          <w:r>
            <w:t>151</w:t>
          </w:r>
          <w:r>
            <w:rPr>
              <w:rFonts w:hint="eastAsia"/>
            </w:rPr>
            <w:fldChar w:fldCharType="end"/>
          </w:r>
          <w:r>
            <w:rPr>
              <w:rFonts w:hint="eastAsia"/>
            </w:rPr>
            <w:fldChar w:fldCharType="end"/>
          </w:r>
        </w:p>
        <w:p w14:paraId="0D3E26AA">
          <w:pPr>
            <w:pStyle w:val="13"/>
            <w:tabs>
              <w:tab w:val="right" w:leader="dot" w:pos="8296"/>
            </w:tabs>
            <w:rPr>
              <w:rFonts w:cs="Times New Roman"/>
            </w:rPr>
          </w:pPr>
          <w:r>
            <w:rPr>
              <w:rFonts w:cs="Times New Roman"/>
              <w:szCs w:val="24"/>
              <w:lang w:val="zh-CN"/>
            </w:rPr>
            <w:fldChar w:fldCharType="end"/>
          </w:r>
        </w:p>
      </w:sdtContent>
    </w:sdt>
    <w:p w14:paraId="50B0B8FF">
      <w:pPr>
        <w:pStyle w:val="2"/>
        <w:widowControl/>
        <w:adjustRightInd w:val="0"/>
        <w:spacing w:before="0" w:after="0" w:line="360" w:lineRule="auto"/>
        <w:jc w:val="left"/>
        <w:rPr>
          <w:rFonts w:eastAsia="黑体" w:cs="Times New Roman"/>
          <w:b w:val="0"/>
          <w:bCs w:val="0"/>
          <w:sz w:val="32"/>
          <w:szCs w:val="48"/>
        </w:rPr>
        <w:sectPr>
          <w:headerReference r:id="rId7" w:type="default"/>
          <w:type w:val="continuous"/>
          <w:pgSz w:w="11906" w:h="16838"/>
          <w:pgMar w:top="1440" w:right="1800" w:bottom="1440" w:left="1800" w:header="851" w:footer="992" w:gutter="0"/>
          <w:cols w:space="425" w:num="1"/>
          <w:docGrid w:type="lines" w:linePitch="312" w:charSpace="0"/>
        </w:sectPr>
      </w:pPr>
    </w:p>
    <w:p w14:paraId="39EB7351">
      <w:pPr>
        <w:pStyle w:val="2"/>
        <w:widowControl/>
        <w:adjustRightInd w:val="0"/>
        <w:spacing w:before="0" w:after="0" w:line="360" w:lineRule="auto"/>
        <w:jc w:val="left"/>
        <w:rPr>
          <w:rFonts w:eastAsia="黑体" w:cs="Times New Roman"/>
          <w:b w:val="0"/>
          <w:bCs w:val="0"/>
          <w:sz w:val="32"/>
          <w:szCs w:val="48"/>
        </w:rPr>
      </w:pPr>
      <w:bookmarkStart w:id="2" w:name="_Toc198651989"/>
      <w:r>
        <w:rPr>
          <w:rFonts w:eastAsia="黑体" w:cs="Times New Roman"/>
          <w:b w:val="0"/>
          <w:bCs w:val="0"/>
          <w:sz w:val="32"/>
          <w:szCs w:val="48"/>
        </w:rPr>
        <w:t>1</w:t>
      </w:r>
      <w:r>
        <w:rPr>
          <w:rFonts w:hint="eastAsia" w:eastAsia="黑体" w:cs="Times New Roman"/>
          <w:b w:val="0"/>
          <w:bCs w:val="0"/>
          <w:sz w:val="32"/>
          <w:szCs w:val="48"/>
        </w:rPr>
        <w:t>建设基础与面临形势</w:t>
      </w:r>
      <w:bookmarkEnd w:id="2"/>
    </w:p>
    <w:p w14:paraId="18B3ABFE">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3" w:name="_Toc198651990"/>
      <w:r>
        <w:rPr>
          <w:rFonts w:ascii="Times New Roman" w:hAnsi="Times New Roman" w:eastAsia="黑体" w:cs="Times New Roman"/>
          <w:b w:val="0"/>
          <w:bCs w:val="0"/>
          <w:kern w:val="0"/>
          <w:sz w:val="28"/>
          <w:szCs w:val="28"/>
        </w:rPr>
        <w:t>1.1区域特点</w:t>
      </w:r>
      <w:bookmarkEnd w:id="3"/>
    </w:p>
    <w:p w14:paraId="3FD9E047">
      <w:pPr>
        <w:pStyle w:val="4"/>
        <w:widowControl/>
        <w:adjustRightInd w:val="0"/>
        <w:spacing w:before="0" w:after="0" w:line="360" w:lineRule="auto"/>
        <w:jc w:val="left"/>
        <w:rPr>
          <w:rFonts w:eastAsia="黑体" w:cs="Times New Roman"/>
          <w:b w:val="0"/>
          <w:bCs w:val="0"/>
          <w:kern w:val="0"/>
          <w:sz w:val="28"/>
          <w:szCs w:val="28"/>
        </w:rPr>
      </w:pPr>
      <w:bookmarkStart w:id="4" w:name="_Toc198651991"/>
      <w:r>
        <w:rPr>
          <w:rFonts w:eastAsia="黑体" w:cs="Times New Roman"/>
          <w:b w:val="0"/>
          <w:bCs w:val="0"/>
          <w:kern w:val="0"/>
          <w:sz w:val="28"/>
          <w:szCs w:val="28"/>
        </w:rPr>
        <w:t>1.1.1地理位置</w:t>
      </w:r>
      <w:bookmarkEnd w:id="4"/>
    </w:p>
    <w:p w14:paraId="247DD5B1">
      <w:pPr>
        <w:widowControl/>
        <w:adjustRightInd w:val="0"/>
        <w:ind w:firstLine="560" w:firstLineChars="200"/>
        <w:rPr>
          <w:rFonts w:cs="Times New Roman"/>
          <w:sz w:val="28"/>
          <w:szCs w:val="28"/>
        </w:rPr>
      </w:pPr>
      <w:r>
        <w:rPr>
          <w:rFonts w:hint="eastAsia" w:cs="Times New Roman"/>
          <w:sz w:val="28"/>
          <w:szCs w:val="28"/>
        </w:rPr>
        <w:t>包头市</w:t>
      </w:r>
      <w:r>
        <w:rPr>
          <w:rFonts w:cs="Times New Roman"/>
          <w:sz w:val="28"/>
          <w:szCs w:val="28"/>
        </w:rPr>
        <w:t>九原区位于内蒙古自治区西部、包头市西南部，介于北纬40°28′</w:t>
      </w:r>
      <w:r>
        <w:rPr>
          <w:rFonts w:hint="eastAsia" w:cs="Times New Roman"/>
          <w:sz w:val="28"/>
          <w:szCs w:val="28"/>
        </w:rPr>
        <w:t>~</w:t>
      </w:r>
      <w:r>
        <w:rPr>
          <w:rFonts w:cs="Times New Roman"/>
          <w:sz w:val="28"/>
          <w:szCs w:val="28"/>
        </w:rPr>
        <w:t>40°44′、东经111°57′</w:t>
      </w:r>
      <w:r>
        <w:rPr>
          <w:rFonts w:hint="eastAsia" w:cs="Times New Roman"/>
          <w:sz w:val="28"/>
          <w:szCs w:val="28"/>
        </w:rPr>
        <w:t>~</w:t>
      </w:r>
      <w:r>
        <w:rPr>
          <w:rFonts w:cs="Times New Roman"/>
          <w:sz w:val="28"/>
          <w:szCs w:val="28"/>
        </w:rPr>
        <w:t>112°35′之间，</w:t>
      </w:r>
      <w:r>
        <w:rPr>
          <w:rFonts w:hint="eastAsia" w:cs="Times New Roman"/>
          <w:sz w:val="28"/>
          <w:szCs w:val="28"/>
        </w:rPr>
        <w:t>东邻东河区、石拐区，北靠青山区、昆都仑区。北靠大青山，南临黄河，地处土默特平原与河套平原的结合部。</w:t>
      </w:r>
      <w:r>
        <w:rPr>
          <w:rFonts w:cs="Times New Roman"/>
          <w:sz w:val="28"/>
          <w:szCs w:val="28"/>
        </w:rPr>
        <w:t>全区总面积为734</w:t>
      </w:r>
      <w:r>
        <w:rPr>
          <w:rFonts w:hint="eastAsia" w:cs="Times New Roman"/>
          <w:sz w:val="28"/>
          <w:szCs w:val="28"/>
        </w:rPr>
        <w:t>km</w:t>
      </w:r>
      <w:r>
        <w:rPr>
          <w:rFonts w:hint="eastAsia" w:cs="Times New Roman"/>
          <w:sz w:val="28"/>
          <w:szCs w:val="28"/>
          <w:vertAlign w:val="superscript"/>
        </w:rPr>
        <w:t>2</w:t>
      </w:r>
      <w:r>
        <w:rPr>
          <w:rFonts w:cs="Times New Roman"/>
          <w:sz w:val="28"/>
          <w:szCs w:val="28"/>
        </w:rPr>
        <w:t>，南北最长距离约30</w:t>
      </w:r>
      <w:r>
        <w:rPr>
          <w:rFonts w:hint="eastAsia" w:cs="Times New Roman"/>
          <w:sz w:val="28"/>
          <w:szCs w:val="28"/>
        </w:rPr>
        <w:t>km</w:t>
      </w:r>
      <w:r>
        <w:rPr>
          <w:rFonts w:cs="Times New Roman"/>
          <w:sz w:val="28"/>
          <w:szCs w:val="28"/>
        </w:rPr>
        <w:t>，东西最长距离约54</w:t>
      </w:r>
      <w:r>
        <w:rPr>
          <w:rFonts w:hint="eastAsia" w:cs="Times New Roman"/>
          <w:sz w:val="28"/>
          <w:szCs w:val="28"/>
        </w:rPr>
        <w:t>km</w:t>
      </w:r>
      <w:r>
        <w:rPr>
          <w:rFonts w:cs="Times New Roman"/>
          <w:sz w:val="28"/>
          <w:szCs w:val="28"/>
        </w:rPr>
        <w:t>。</w:t>
      </w:r>
      <w:r>
        <w:rPr>
          <w:rFonts w:hint="eastAsia" w:cs="Times New Roman"/>
          <w:sz w:val="28"/>
          <w:szCs w:val="28"/>
        </w:rPr>
        <w:t>九原区是内蒙古自治区包头市的一个市辖区，位于“呼包银榆”经济区和“呼包鄂榆”城市群的核心区域，是包头新都市中心区所在地，也是内蒙古和包头市落实“一带一路”倡议和京津冀协同发展的重要节点，京包、集包、包兰、包神、甘泉、包白、包满等铁路贯穿其间，210国道、110国道、G6、</w:t>
      </w:r>
      <w:r>
        <w:rPr>
          <w:rFonts w:hint="eastAsia" w:cs="Times New Roman"/>
          <w:color w:val="000000" w:themeColor="text1"/>
          <w:sz w:val="28"/>
          <w:szCs w:val="28"/>
          <w14:textFill>
            <w14:solidFill>
              <w14:schemeClr w14:val="tx1"/>
            </w14:solidFill>
          </w14:textFill>
        </w:rPr>
        <w:t>G7</w:t>
      </w:r>
      <w:r>
        <w:rPr>
          <w:rFonts w:hint="eastAsia" w:cs="Times New Roman"/>
          <w:sz w:val="28"/>
          <w:szCs w:val="28"/>
        </w:rPr>
        <w:t>高速等重要公路干线穿越而过，交通运输条件极为便捷。</w:t>
      </w:r>
    </w:p>
    <w:p w14:paraId="3C58AD50">
      <w:pPr>
        <w:widowControl/>
        <w:adjustRightInd w:val="0"/>
        <w:ind w:firstLine="480" w:firstLineChars="200"/>
        <w:rPr>
          <w:rFonts w:cs="Times New Roman"/>
          <w:sz w:val="28"/>
          <w:szCs w:val="28"/>
        </w:rPr>
      </w:pPr>
      <w:r>
        <w:drawing>
          <wp:inline distT="0" distB="0" distL="0" distR="0">
            <wp:extent cx="5257800" cy="7620000"/>
            <wp:effectExtent l="0" t="0" r="0" b="0"/>
            <wp:docPr id="2141005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05977" name="图片 1"/>
                    <pic:cNvPicPr>
                      <a:picLocks noChangeAspect="1"/>
                    </pic:cNvPicPr>
                  </pic:nvPicPr>
                  <pic:blipFill>
                    <a:blip r:embed="rId34"/>
                    <a:stretch>
                      <a:fillRect/>
                    </a:stretch>
                  </pic:blipFill>
                  <pic:spPr>
                    <a:xfrm>
                      <a:off x="0" y="0"/>
                      <a:ext cx="5258293" cy="7620308"/>
                    </a:xfrm>
                    <a:prstGeom prst="rect">
                      <a:avLst/>
                    </a:prstGeom>
                  </pic:spPr>
                </pic:pic>
              </a:graphicData>
            </a:graphic>
          </wp:inline>
        </w:drawing>
      </w:r>
    </w:p>
    <w:p w14:paraId="7691D9F0">
      <w:pPr>
        <w:widowControl/>
        <w:adjustRightInd w:val="0"/>
        <w:ind w:firstLine="2880" w:firstLineChars="1200"/>
        <w:rPr>
          <w:rFonts w:eastAsia="黑体" w:cs="Times New Roman"/>
          <w:szCs w:val="24"/>
        </w:rPr>
      </w:pPr>
      <w:r>
        <w:rPr>
          <w:rFonts w:eastAsia="黑体" w:cs="Times New Roman"/>
          <w:szCs w:val="24"/>
        </w:rPr>
        <w:t>图1-</w:t>
      </w:r>
      <w:r>
        <w:rPr>
          <w:rFonts w:hint="eastAsia" w:eastAsia="黑体" w:cs="Times New Roman"/>
          <w:szCs w:val="24"/>
        </w:rPr>
        <w:t>1</w:t>
      </w:r>
      <w:r>
        <w:rPr>
          <w:rFonts w:eastAsia="黑体" w:cs="Times New Roman"/>
          <w:szCs w:val="24"/>
        </w:rPr>
        <w:t xml:space="preserve">  </w:t>
      </w:r>
      <w:r>
        <w:rPr>
          <w:rFonts w:hint="eastAsia" w:eastAsia="黑体" w:cs="Times New Roman"/>
          <w:szCs w:val="24"/>
        </w:rPr>
        <w:t>九原区地理位置图</w:t>
      </w:r>
    </w:p>
    <w:p w14:paraId="2381FBE0">
      <w:pPr>
        <w:rPr>
          <w:rFonts w:cs="Times New Roman"/>
          <w:sz w:val="28"/>
          <w:szCs w:val="28"/>
        </w:rPr>
      </w:pPr>
      <w:r>
        <w:drawing>
          <wp:inline distT="0" distB="0" distL="0" distR="0">
            <wp:extent cx="5181600" cy="2565400"/>
            <wp:effectExtent l="0" t="0" r="0" b="6350"/>
            <wp:docPr id="1787048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48507" name="图片 1"/>
                    <pic:cNvPicPr>
                      <a:picLocks noChangeAspect="1"/>
                    </pic:cNvPicPr>
                  </pic:nvPicPr>
                  <pic:blipFill>
                    <a:blip r:embed="rId35"/>
                    <a:stretch>
                      <a:fillRect/>
                    </a:stretch>
                  </pic:blipFill>
                  <pic:spPr>
                    <a:xfrm>
                      <a:off x="0" y="0"/>
                      <a:ext cx="5181784" cy="2565452"/>
                    </a:xfrm>
                    <a:prstGeom prst="rect">
                      <a:avLst/>
                    </a:prstGeom>
                  </pic:spPr>
                </pic:pic>
              </a:graphicData>
            </a:graphic>
          </wp:inline>
        </w:drawing>
      </w:r>
    </w:p>
    <w:p w14:paraId="1FE0ADF8">
      <w:pPr>
        <w:widowControl/>
        <w:adjustRightInd w:val="0"/>
        <w:ind w:firstLine="2880" w:firstLineChars="1200"/>
        <w:rPr>
          <w:rFonts w:eastAsia="黑体" w:cs="Times New Roman"/>
          <w:szCs w:val="24"/>
        </w:rPr>
      </w:pPr>
      <w:r>
        <w:rPr>
          <w:rFonts w:eastAsia="黑体" w:cs="Times New Roman"/>
          <w:szCs w:val="24"/>
        </w:rPr>
        <w:t>图1-</w:t>
      </w:r>
      <w:r>
        <w:rPr>
          <w:rFonts w:hint="eastAsia" w:eastAsia="黑体" w:cs="Times New Roman"/>
          <w:szCs w:val="24"/>
        </w:rPr>
        <w:t>2</w:t>
      </w:r>
      <w:r>
        <w:rPr>
          <w:rFonts w:eastAsia="黑体" w:cs="Times New Roman"/>
          <w:szCs w:val="24"/>
        </w:rPr>
        <w:t xml:space="preserve">  九原区</w:t>
      </w:r>
      <w:r>
        <w:rPr>
          <w:rFonts w:hint="eastAsia" w:eastAsia="黑体" w:cs="Times New Roman"/>
          <w:szCs w:val="24"/>
        </w:rPr>
        <w:t>行政区划图</w:t>
      </w:r>
    </w:p>
    <w:p w14:paraId="48B5EA45">
      <w:pPr>
        <w:pStyle w:val="4"/>
        <w:widowControl/>
        <w:adjustRightInd w:val="0"/>
        <w:spacing w:before="0" w:after="0" w:line="360" w:lineRule="auto"/>
        <w:jc w:val="left"/>
        <w:rPr>
          <w:rFonts w:eastAsia="黑体" w:cs="Times New Roman"/>
          <w:b w:val="0"/>
          <w:bCs w:val="0"/>
          <w:kern w:val="0"/>
          <w:sz w:val="28"/>
          <w:szCs w:val="28"/>
        </w:rPr>
      </w:pPr>
      <w:bookmarkStart w:id="5" w:name="_Toc198651992"/>
      <w:r>
        <w:rPr>
          <w:rFonts w:eastAsia="黑体" w:cs="Times New Roman"/>
          <w:b w:val="0"/>
          <w:bCs w:val="0"/>
          <w:kern w:val="0"/>
          <w:sz w:val="28"/>
          <w:szCs w:val="28"/>
        </w:rPr>
        <w:t>1.1.2地形地貌</w:t>
      </w:r>
      <w:bookmarkEnd w:id="5"/>
    </w:p>
    <w:p w14:paraId="05E940D9">
      <w:pPr>
        <w:widowControl/>
        <w:adjustRightInd w:val="0"/>
        <w:ind w:firstLine="560" w:firstLineChars="200"/>
        <w:rPr>
          <w:rFonts w:cs="Times New Roman"/>
          <w:sz w:val="28"/>
          <w:szCs w:val="28"/>
        </w:rPr>
      </w:pPr>
      <w:r>
        <w:rPr>
          <w:rFonts w:hint="eastAsia" w:cs="Times New Roman"/>
          <w:sz w:val="28"/>
          <w:szCs w:val="28"/>
        </w:rPr>
        <w:t>九原区的地形是北高南低，且由西北向东南倾斜。绵延千里的阴山（昆都仑沟以西为乌拉山，以东为大青山）横亘于九原区北部。黄河沿九原区南境从西向东蜿蜒而过，阴山和黄河之间是冲积平原。九原区东北有一块面积不大的丘陵区。</w:t>
      </w:r>
    </w:p>
    <w:p w14:paraId="5EE26867">
      <w:pPr>
        <w:pStyle w:val="4"/>
        <w:widowControl/>
        <w:adjustRightInd w:val="0"/>
        <w:spacing w:before="0" w:after="0" w:line="360" w:lineRule="auto"/>
        <w:jc w:val="left"/>
        <w:rPr>
          <w:rFonts w:eastAsia="黑体" w:cs="Times New Roman"/>
          <w:b w:val="0"/>
          <w:bCs w:val="0"/>
          <w:color w:val="FF0000"/>
          <w:kern w:val="0"/>
          <w:sz w:val="28"/>
          <w:szCs w:val="28"/>
        </w:rPr>
      </w:pPr>
      <w:bookmarkStart w:id="6" w:name="_Toc198651993"/>
      <w:r>
        <w:rPr>
          <w:rFonts w:eastAsia="黑体" w:cs="Times New Roman"/>
          <w:b w:val="0"/>
          <w:bCs w:val="0"/>
          <w:kern w:val="0"/>
          <w:sz w:val="28"/>
          <w:szCs w:val="28"/>
        </w:rPr>
        <w:t>1.1.3河流水系</w:t>
      </w:r>
      <w:bookmarkEnd w:id="6"/>
    </w:p>
    <w:p w14:paraId="192ECF96">
      <w:pPr>
        <w:widowControl/>
        <w:adjustRightInd w:val="0"/>
        <w:ind w:firstLine="560" w:firstLineChars="200"/>
        <w:rPr>
          <w:rFonts w:cs="Times New Roman"/>
          <w:sz w:val="28"/>
          <w:szCs w:val="28"/>
        </w:rPr>
      </w:pPr>
      <w:r>
        <w:rPr>
          <w:rFonts w:hint="eastAsia" w:cs="Times New Roman"/>
          <w:sz w:val="28"/>
          <w:szCs w:val="28"/>
        </w:rPr>
        <w:t>九原区境内主要河流为黄河九原段、黄河一级支流，昆都仑河、二道沙河和四道沙河、以及境内</w:t>
      </w:r>
      <w:r>
        <w:rPr>
          <w:rFonts w:cs="Times New Roman"/>
          <w:sz w:val="28"/>
          <w:szCs w:val="28"/>
        </w:rPr>
        <w:t>哈德门沟</w:t>
      </w:r>
      <w:r>
        <w:rPr>
          <w:rFonts w:hint="eastAsia" w:cs="Times New Roman"/>
          <w:sz w:val="28"/>
          <w:szCs w:val="28"/>
        </w:rPr>
        <w:t>、梅力更沟等12条支沟。</w:t>
      </w:r>
    </w:p>
    <w:p w14:paraId="7A2CEFA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黄河九原段</w:t>
      </w:r>
    </w:p>
    <w:p w14:paraId="52C77876">
      <w:pPr>
        <w:widowControl/>
        <w:adjustRightInd w:val="0"/>
        <w:ind w:firstLine="560" w:firstLineChars="200"/>
        <w:rPr>
          <w:rFonts w:cs="Times New Roman"/>
          <w:sz w:val="28"/>
          <w:szCs w:val="28"/>
        </w:rPr>
      </w:pPr>
      <w:r>
        <w:rPr>
          <w:rFonts w:hint="eastAsia" w:cs="Times New Roman"/>
          <w:sz w:val="28"/>
          <w:szCs w:val="28"/>
        </w:rPr>
        <w:t>入境位于巴彦淖尔市乌拉特前旗与包头市九原区交界处（桩号276），出境位于包头市九原区与包头市高新区交界处（桩号311），境内全长41km，河道比降1/10000。根据三湖河1969-1990年系列实测，最大流量5500m³/s，防洪标准（50年一遇设计洪峰）5920m³/s。</w:t>
      </w:r>
    </w:p>
    <w:p w14:paraId="7FFA69B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黄河一级支流，昆都仑河、二道沙河和四道沙河</w:t>
      </w:r>
    </w:p>
    <w:p w14:paraId="7B3ABDE1">
      <w:pPr>
        <w:widowControl/>
        <w:adjustRightInd w:val="0"/>
        <w:ind w:firstLine="560" w:firstLineChars="200"/>
        <w:rPr>
          <w:rFonts w:cs="Times New Roman"/>
          <w:sz w:val="28"/>
          <w:szCs w:val="28"/>
        </w:rPr>
      </w:pPr>
      <w:r>
        <w:rPr>
          <w:rFonts w:hint="eastAsia" w:cs="Times New Roman"/>
          <w:sz w:val="28"/>
          <w:szCs w:val="28"/>
        </w:rPr>
        <w:t>昆都仑河九原区段北起包兰铁路与稀土高新区交界处，南至黄河入黄口，共13.37km；</w:t>
      </w:r>
    </w:p>
    <w:p w14:paraId="0C11CE44">
      <w:pPr>
        <w:widowControl/>
        <w:adjustRightInd w:val="0"/>
        <w:ind w:firstLine="560" w:firstLineChars="200"/>
        <w:rPr>
          <w:rFonts w:cs="Times New Roman"/>
          <w:sz w:val="28"/>
          <w:szCs w:val="28"/>
        </w:rPr>
      </w:pPr>
      <w:r>
        <w:rPr>
          <w:rFonts w:hint="eastAsia" w:cs="Times New Roman"/>
          <w:sz w:val="28"/>
          <w:szCs w:val="28"/>
        </w:rPr>
        <w:t>二道沙河为黄河一级支流，流经包头市青山区、九原区和东河区，全长18.6km，流域面积83.0k㎡，二道沙河在九原区境内约10km，起点G6高速二道沙河桥，途径沙河镇到京包铁路结束；</w:t>
      </w:r>
    </w:p>
    <w:p w14:paraId="6714F342">
      <w:pPr>
        <w:widowControl/>
        <w:adjustRightInd w:val="0"/>
        <w:ind w:firstLine="560" w:firstLineChars="200"/>
        <w:rPr>
          <w:rFonts w:cs="Times New Roman"/>
          <w:sz w:val="28"/>
          <w:szCs w:val="28"/>
        </w:rPr>
      </w:pPr>
      <w:r>
        <w:rPr>
          <w:rFonts w:hint="eastAsia" w:cs="Times New Roman"/>
          <w:sz w:val="28"/>
          <w:szCs w:val="28"/>
        </w:rPr>
        <w:t>四道沙河为黄河一级支流，流经包头市青山区、九原区和高新区，全长20km，流域面积86.6k㎡。四道沙河在九原区境内5.5km，起点在建设路四道沙河桥，途经赛汗塔拉公园、井卜石村、尹六窑子村，到京包铁路结束。</w:t>
      </w:r>
    </w:p>
    <w:p w14:paraId="2B1653D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cs="Times New Roman"/>
          <w:b/>
          <w:bCs/>
          <w:sz w:val="28"/>
          <w:szCs w:val="28"/>
        </w:rPr>
        <w:t>哈德门沟</w:t>
      </w:r>
      <w:r>
        <w:rPr>
          <w:rFonts w:hint="eastAsia" w:cs="Times New Roman"/>
          <w:b/>
          <w:bCs/>
          <w:sz w:val="28"/>
          <w:szCs w:val="28"/>
        </w:rPr>
        <w:t>、梅力更沟等12条支沟</w:t>
      </w:r>
    </w:p>
    <w:p w14:paraId="7C270256">
      <w:pPr>
        <w:widowControl/>
        <w:adjustRightInd w:val="0"/>
        <w:ind w:firstLine="560" w:firstLineChars="200"/>
        <w:rPr>
          <w:rFonts w:cs="Times New Roman"/>
          <w:sz w:val="28"/>
          <w:szCs w:val="28"/>
        </w:rPr>
      </w:pPr>
      <w:r>
        <w:rPr>
          <w:rFonts w:cs="Times New Roman"/>
          <w:sz w:val="28"/>
          <w:szCs w:val="28"/>
        </w:rPr>
        <w:t>哈德门沟位于内蒙古包头市市区西侧九原区。地理坐标为东经109°29′40.1"～109°39′25.9"，北纬40°31′49"～40°48′35.8"。哈德门沟系黄河的一级支流，发源于乌拉山召庙沟口以上，河道自西北流向东南。该沟自哈德门村北出山后，自北向南穿过G6高速、110国道，流经乌计兰村，过包兰铁路、新南绕城公路后，河道不存在，发生洪水为散流状态；</w:t>
      </w:r>
    </w:p>
    <w:p w14:paraId="120F7C32">
      <w:pPr>
        <w:widowControl/>
        <w:adjustRightInd w:val="0"/>
        <w:ind w:firstLine="560" w:firstLineChars="200"/>
        <w:rPr>
          <w:rFonts w:cs="Times New Roman"/>
          <w:sz w:val="28"/>
          <w:szCs w:val="28"/>
        </w:rPr>
      </w:pPr>
      <w:r>
        <w:rPr>
          <w:rFonts w:cs="Times New Roman"/>
          <w:sz w:val="28"/>
          <w:szCs w:val="28"/>
        </w:rPr>
        <w:t>梅力更沟位于内蒙古包头市九原区西部。地理坐标为东经109°23′24″</w:t>
      </w:r>
      <w:r>
        <w:rPr>
          <w:rFonts w:hint="eastAsia" w:cs="Times New Roman"/>
          <w:sz w:val="28"/>
          <w:szCs w:val="28"/>
        </w:rPr>
        <w:t>~</w:t>
      </w:r>
      <w:r>
        <w:rPr>
          <w:rFonts w:cs="Times New Roman"/>
          <w:sz w:val="28"/>
          <w:szCs w:val="28"/>
        </w:rPr>
        <w:t>109°48′53″，北纬40°43′34″</w:t>
      </w:r>
      <w:r>
        <w:rPr>
          <w:rFonts w:hint="eastAsia" w:cs="Times New Roman"/>
          <w:sz w:val="28"/>
          <w:szCs w:val="28"/>
        </w:rPr>
        <w:t>~</w:t>
      </w:r>
      <w:r>
        <w:rPr>
          <w:rFonts w:cs="Times New Roman"/>
          <w:sz w:val="28"/>
          <w:szCs w:val="28"/>
        </w:rPr>
        <w:t>40°58′34″。梅力更沟发源于乌拉山石大坝，流域西至乌拉山主峰大桦背，与乌拉特前旗黑柳子乡交界，东至乌兰不浪沟西，北与乌拉特前旗沙德盖苏木接壤，南与九原区哈业胡同相邻，主沟长约13.7Km</w:t>
      </w:r>
      <w:r>
        <w:rPr>
          <w:rFonts w:hint="eastAsia" w:cs="Times New Roman"/>
          <w:sz w:val="28"/>
          <w:szCs w:val="28"/>
        </w:rPr>
        <w:t>；</w:t>
      </w:r>
    </w:p>
    <w:p w14:paraId="42C4B0B9">
      <w:pPr>
        <w:widowControl/>
        <w:adjustRightInd w:val="0"/>
        <w:ind w:firstLine="560" w:firstLineChars="200"/>
        <w:rPr>
          <w:rFonts w:cs="Times New Roman"/>
          <w:sz w:val="28"/>
          <w:szCs w:val="28"/>
        </w:rPr>
      </w:pPr>
      <w:r>
        <w:rPr>
          <w:rFonts w:cs="Times New Roman"/>
          <w:sz w:val="28"/>
          <w:szCs w:val="28"/>
        </w:rPr>
        <w:t>阿贵沟阿嘎如泰苏木段北起乌拉山源头，南至G6高速与哈业胡同镇交界处，长度2.6km</w:t>
      </w:r>
      <w:r>
        <w:rPr>
          <w:rFonts w:hint="eastAsia" w:cs="Times New Roman"/>
          <w:sz w:val="28"/>
          <w:szCs w:val="28"/>
        </w:rPr>
        <w:t>。</w:t>
      </w:r>
      <w:r>
        <w:rPr>
          <w:rFonts w:cs="Times New Roman"/>
          <w:sz w:val="28"/>
          <w:szCs w:val="28"/>
        </w:rPr>
        <w:t>哈业胡同段北起京藏高速与苏木交界处，南至110国道，长度1.3km；</w:t>
      </w:r>
    </w:p>
    <w:p w14:paraId="0522D129">
      <w:pPr>
        <w:widowControl/>
        <w:adjustRightInd w:val="0"/>
        <w:ind w:firstLine="560" w:firstLineChars="200"/>
        <w:rPr>
          <w:rFonts w:cs="Times New Roman"/>
          <w:sz w:val="28"/>
          <w:szCs w:val="28"/>
        </w:rPr>
      </w:pPr>
      <w:r>
        <w:rPr>
          <w:rFonts w:cs="Times New Roman"/>
          <w:sz w:val="28"/>
          <w:szCs w:val="28"/>
        </w:rPr>
        <w:t>阿贵沟总长度3.9km</w:t>
      </w:r>
      <w:r>
        <w:rPr>
          <w:rFonts w:hint="eastAsia" w:cs="Times New Roman"/>
          <w:sz w:val="28"/>
          <w:szCs w:val="28"/>
        </w:rPr>
        <w:t>；</w:t>
      </w:r>
      <w:r>
        <w:rPr>
          <w:rFonts w:cs="Times New Roman"/>
          <w:sz w:val="28"/>
          <w:szCs w:val="28"/>
        </w:rPr>
        <w:t>白石头沟阿嘎如泰苏木段北起乌拉山源头，南至110国道，长度3.51km</w:t>
      </w:r>
      <w:r>
        <w:rPr>
          <w:rFonts w:hint="eastAsia" w:cs="Times New Roman"/>
          <w:sz w:val="28"/>
          <w:szCs w:val="28"/>
        </w:rPr>
        <w:t>；</w:t>
      </w:r>
    </w:p>
    <w:p w14:paraId="4BAAE154">
      <w:pPr>
        <w:widowControl/>
        <w:adjustRightInd w:val="0"/>
        <w:ind w:firstLine="560" w:firstLineChars="200"/>
        <w:rPr>
          <w:rFonts w:cs="Times New Roman"/>
          <w:sz w:val="28"/>
          <w:szCs w:val="28"/>
        </w:rPr>
      </w:pPr>
      <w:r>
        <w:rPr>
          <w:rFonts w:cs="Times New Roman"/>
          <w:sz w:val="28"/>
          <w:szCs w:val="28"/>
        </w:rPr>
        <w:t>大坝沟阿嘎如泰苏木段北起乌拉山源头，南至G6高速与哈业胡同镇交界处，长度7km；</w:t>
      </w:r>
    </w:p>
    <w:p w14:paraId="2E7F1CF3">
      <w:pPr>
        <w:widowControl/>
        <w:adjustRightInd w:val="0"/>
        <w:ind w:firstLine="560" w:firstLineChars="200"/>
        <w:rPr>
          <w:rFonts w:cs="Times New Roman"/>
          <w:sz w:val="28"/>
          <w:szCs w:val="28"/>
        </w:rPr>
      </w:pPr>
      <w:r>
        <w:rPr>
          <w:rFonts w:cs="Times New Roman"/>
          <w:sz w:val="28"/>
          <w:szCs w:val="28"/>
        </w:rPr>
        <w:t>东柏树沟阿嘎如泰苏木段北起乌拉山源头，南至G6京藏高速，长度4.95km</w:t>
      </w:r>
      <w:r>
        <w:rPr>
          <w:rFonts w:hint="eastAsia" w:cs="Times New Roman"/>
          <w:sz w:val="28"/>
          <w:szCs w:val="28"/>
        </w:rPr>
        <w:t>；；</w:t>
      </w:r>
    </w:p>
    <w:p w14:paraId="5DB831D8">
      <w:pPr>
        <w:widowControl/>
        <w:adjustRightInd w:val="0"/>
        <w:ind w:firstLine="560" w:firstLineChars="200"/>
        <w:rPr>
          <w:rFonts w:cs="Times New Roman"/>
          <w:sz w:val="28"/>
          <w:szCs w:val="28"/>
        </w:rPr>
      </w:pPr>
      <w:r>
        <w:rPr>
          <w:rFonts w:cs="Times New Roman"/>
          <w:sz w:val="28"/>
          <w:szCs w:val="28"/>
        </w:rPr>
        <w:t>呼鲁斯太沟阿嘎如泰苏木段北起乌拉山源头，南至G6京藏高速桥，长度2.3km</w:t>
      </w:r>
      <w:r>
        <w:rPr>
          <w:rFonts w:hint="eastAsia" w:cs="Times New Roman"/>
          <w:sz w:val="28"/>
          <w:szCs w:val="28"/>
        </w:rPr>
        <w:t>；；</w:t>
      </w:r>
    </w:p>
    <w:p w14:paraId="4F4F258B">
      <w:pPr>
        <w:widowControl/>
        <w:adjustRightInd w:val="0"/>
        <w:ind w:firstLine="560" w:firstLineChars="200"/>
        <w:rPr>
          <w:rFonts w:cs="Times New Roman"/>
          <w:sz w:val="28"/>
          <w:szCs w:val="28"/>
        </w:rPr>
      </w:pPr>
      <w:r>
        <w:rPr>
          <w:rFonts w:cs="Times New Roman"/>
          <w:sz w:val="28"/>
          <w:szCs w:val="28"/>
        </w:rPr>
        <w:t>虎贲亥沟哈林格尔段北起包兰铁路与昆区交界处，南至工业园区纬四路，长度3.2km</w:t>
      </w:r>
      <w:r>
        <w:rPr>
          <w:rFonts w:hint="eastAsia" w:cs="Times New Roman"/>
          <w:sz w:val="28"/>
          <w:szCs w:val="28"/>
        </w:rPr>
        <w:t>；</w:t>
      </w:r>
    </w:p>
    <w:p w14:paraId="1FDB48E2">
      <w:pPr>
        <w:widowControl/>
        <w:adjustRightInd w:val="0"/>
        <w:ind w:firstLine="560" w:firstLineChars="200"/>
        <w:rPr>
          <w:rFonts w:cs="Times New Roman"/>
          <w:sz w:val="28"/>
          <w:szCs w:val="28"/>
        </w:rPr>
      </w:pPr>
      <w:r>
        <w:rPr>
          <w:rFonts w:cs="Times New Roman"/>
          <w:sz w:val="28"/>
          <w:szCs w:val="28"/>
        </w:rPr>
        <w:t>花沟阿嘎如泰苏木段北起乌拉山源头，南至G6高速公路桥，长度4km</w:t>
      </w:r>
      <w:r>
        <w:rPr>
          <w:rFonts w:hint="eastAsia" w:cs="Times New Roman"/>
          <w:sz w:val="28"/>
          <w:szCs w:val="28"/>
        </w:rPr>
        <w:t>；</w:t>
      </w:r>
    </w:p>
    <w:p w14:paraId="136F5384">
      <w:pPr>
        <w:widowControl/>
        <w:adjustRightInd w:val="0"/>
        <w:ind w:firstLine="560" w:firstLineChars="200"/>
        <w:rPr>
          <w:rFonts w:cs="Times New Roman"/>
          <w:sz w:val="28"/>
          <w:szCs w:val="28"/>
        </w:rPr>
      </w:pPr>
      <w:r>
        <w:rPr>
          <w:rFonts w:cs="Times New Roman"/>
          <w:sz w:val="28"/>
          <w:szCs w:val="28"/>
        </w:rPr>
        <w:t>门道沟阿嘎如泰苏木段北起乌拉山源头，南至G6高速公路桥，长度10km</w:t>
      </w:r>
      <w:r>
        <w:rPr>
          <w:rFonts w:hint="eastAsia" w:cs="Times New Roman"/>
          <w:sz w:val="28"/>
          <w:szCs w:val="28"/>
        </w:rPr>
        <w:t>；</w:t>
      </w:r>
    </w:p>
    <w:p w14:paraId="43CC4D67">
      <w:pPr>
        <w:widowControl/>
        <w:adjustRightInd w:val="0"/>
        <w:ind w:firstLine="560" w:firstLineChars="200"/>
        <w:rPr>
          <w:rFonts w:cs="Times New Roman"/>
          <w:sz w:val="28"/>
          <w:szCs w:val="28"/>
        </w:rPr>
      </w:pPr>
      <w:r>
        <w:rPr>
          <w:rFonts w:cs="Times New Roman"/>
          <w:sz w:val="28"/>
          <w:szCs w:val="28"/>
        </w:rPr>
        <w:t>乌兰不浪沟阿嘎如泰苏木段北起乌拉山源头，南至G6高速与哈业胡同镇交界处，长度11.2km；</w:t>
      </w:r>
    </w:p>
    <w:p w14:paraId="680E4609">
      <w:pPr>
        <w:widowControl/>
        <w:adjustRightInd w:val="0"/>
        <w:ind w:firstLine="560" w:firstLineChars="200"/>
        <w:rPr>
          <w:rFonts w:cs="Times New Roman"/>
          <w:b/>
          <w:bCs/>
          <w:sz w:val="28"/>
          <w:szCs w:val="28"/>
        </w:rPr>
      </w:pPr>
      <w:r>
        <w:rPr>
          <w:rFonts w:cs="Times New Roman"/>
          <w:sz w:val="28"/>
          <w:szCs w:val="28"/>
        </w:rPr>
        <w:t>西柏树沟阿嘎如泰苏木段北起乌拉山源头，南至G6京藏高速，长度5km。</w:t>
      </w:r>
    </w:p>
    <w:p w14:paraId="3BF3188E">
      <w:pPr>
        <w:widowControl/>
        <w:adjustRightInd w:val="0"/>
        <w:ind w:firstLine="562" w:firstLineChars="200"/>
        <w:rPr>
          <w:rFonts w:cs="Times New Roman"/>
          <w:b/>
          <w:bCs/>
          <w:sz w:val="28"/>
          <w:szCs w:val="28"/>
        </w:rPr>
        <w:sectPr>
          <w:headerReference r:id="rId8" w:type="default"/>
          <w:footerReference r:id="rId9" w:type="default"/>
          <w:pgSz w:w="11906" w:h="16838"/>
          <w:pgMar w:top="1440" w:right="1800" w:bottom="1440" w:left="1800" w:header="1134" w:footer="992" w:gutter="0"/>
          <w:pgNumType w:start="1"/>
          <w:cols w:space="425" w:num="1"/>
          <w:docGrid w:type="lines" w:linePitch="326" w:charSpace="0"/>
        </w:sectPr>
      </w:pPr>
    </w:p>
    <w:p w14:paraId="7801DE11">
      <w:pPr>
        <w:jc w:val="center"/>
        <w:rPr>
          <w:rFonts w:eastAsiaTheme="minorEastAsia"/>
          <w:b/>
          <w:szCs w:val="21"/>
        </w:rPr>
      </w:pPr>
      <w:r>
        <w:rPr>
          <w:color w:val="000000"/>
          <w:sz w:val="28"/>
        </w:rPr>
        <w:drawing>
          <wp:inline distT="0" distB="0" distL="0" distR="0">
            <wp:extent cx="8381365" cy="4823460"/>
            <wp:effectExtent l="0" t="0" r="635" b="0"/>
            <wp:docPr id="15" name="图片 23" descr="包头市市区河流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3" descr="包头市市区河流水系图"/>
                    <pic:cNvPicPr>
                      <a:picLocks noChangeAspect="1" noChangeArrowheads="1"/>
                    </pic:cNvPicPr>
                  </pic:nvPicPr>
                  <pic:blipFill>
                    <a:blip r:embed="rId36"/>
                    <a:srcRect/>
                    <a:stretch>
                      <a:fillRect/>
                    </a:stretch>
                  </pic:blipFill>
                  <pic:spPr>
                    <a:xfrm>
                      <a:off x="0" y="0"/>
                      <a:ext cx="8415587" cy="4843023"/>
                    </a:xfrm>
                    <a:prstGeom prst="rect">
                      <a:avLst/>
                    </a:prstGeom>
                    <a:noFill/>
                    <a:ln w="9525">
                      <a:noFill/>
                      <a:miter lim="800000"/>
                      <a:headEnd/>
                      <a:tailEnd/>
                    </a:ln>
                  </pic:spPr>
                </pic:pic>
              </a:graphicData>
            </a:graphic>
          </wp:inline>
        </w:drawing>
      </w:r>
    </w:p>
    <w:p w14:paraId="35EE27E7">
      <w:pPr>
        <w:jc w:val="center"/>
        <w:rPr>
          <w:rFonts w:eastAsiaTheme="minorEastAsia"/>
          <w:b/>
          <w:szCs w:val="21"/>
        </w:rPr>
        <w:sectPr>
          <w:pgSz w:w="16838" w:h="11906" w:orient="landscape"/>
          <w:pgMar w:top="1800" w:right="1440" w:bottom="1800" w:left="1440" w:header="1134" w:footer="992" w:gutter="0"/>
          <w:cols w:space="425" w:num="1"/>
          <w:docGrid w:type="lines" w:linePitch="326" w:charSpace="0"/>
        </w:sectPr>
      </w:pPr>
      <w:r>
        <w:rPr>
          <w:rFonts w:eastAsiaTheme="minorEastAsia"/>
          <w:b/>
          <w:szCs w:val="21"/>
        </w:rPr>
        <w:t>图2</w:t>
      </w:r>
      <w:r>
        <w:rPr>
          <w:rFonts w:hint="eastAsia" w:eastAsiaTheme="minorEastAsia"/>
          <w:b/>
          <w:szCs w:val="21"/>
        </w:rPr>
        <w:t>-</w:t>
      </w:r>
      <w:r>
        <w:rPr>
          <w:rFonts w:eastAsiaTheme="minorEastAsia"/>
          <w:b/>
          <w:szCs w:val="21"/>
        </w:rPr>
        <w:t xml:space="preserve">2  </w:t>
      </w:r>
      <w:r>
        <w:rPr>
          <w:rFonts w:hint="eastAsia" w:eastAsiaTheme="minorEastAsia"/>
          <w:b/>
          <w:szCs w:val="21"/>
        </w:rPr>
        <w:t>包头市</w:t>
      </w:r>
      <w:r>
        <w:rPr>
          <w:rFonts w:eastAsiaTheme="minorEastAsia"/>
          <w:b/>
          <w:szCs w:val="21"/>
        </w:rPr>
        <w:t>河流水系图</w:t>
      </w:r>
    </w:p>
    <w:p w14:paraId="0D576BF7">
      <w:pPr>
        <w:pStyle w:val="4"/>
        <w:widowControl/>
        <w:adjustRightInd w:val="0"/>
        <w:spacing w:before="0" w:after="0" w:line="360" w:lineRule="auto"/>
        <w:jc w:val="left"/>
        <w:rPr>
          <w:rFonts w:eastAsia="黑体" w:cs="Times New Roman"/>
          <w:b w:val="0"/>
          <w:bCs w:val="0"/>
          <w:kern w:val="0"/>
          <w:sz w:val="28"/>
          <w:szCs w:val="28"/>
        </w:rPr>
      </w:pPr>
      <w:bookmarkStart w:id="7" w:name="_Toc198651994"/>
      <w:r>
        <w:rPr>
          <w:rFonts w:eastAsia="黑体" w:cs="Times New Roman"/>
          <w:b w:val="0"/>
          <w:bCs w:val="0"/>
          <w:kern w:val="0"/>
          <w:sz w:val="28"/>
          <w:szCs w:val="28"/>
        </w:rPr>
        <w:t>1.1.4气候条件</w:t>
      </w:r>
      <w:bookmarkEnd w:id="7"/>
    </w:p>
    <w:p w14:paraId="0D2C36B3">
      <w:pPr>
        <w:widowControl/>
        <w:adjustRightInd w:val="0"/>
        <w:ind w:firstLine="560" w:firstLineChars="200"/>
        <w:rPr>
          <w:rFonts w:cs="Times New Roman"/>
          <w:sz w:val="28"/>
          <w:szCs w:val="28"/>
        </w:rPr>
      </w:pPr>
      <w:r>
        <w:rPr>
          <w:rFonts w:hint="eastAsia" w:cs="Times New Roman"/>
          <w:sz w:val="28"/>
          <w:szCs w:val="28"/>
        </w:rPr>
        <w:t>九原区属于半干旱大陆性气候，冬季严寒少雪，常有寒流入侵，以北风和西北风为主，春季少雨多风，夏季炎热干旱降雨少而集中。气候干燥，蒸发量大，湿度小。多年平均降水量303.1mm，7～9月降水量占全年的60%～70%；日照充足，多年平均≥10℃的积温为3365℃，多年均气温7.8℃；多年平均风速2.2m/s，风向以西北风为主；无霜期140d，最大冻土深度1.75m。</w:t>
      </w:r>
    </w:p>
    <w:p w14:paraId="46C3BCB1">
      <w:pPr>
        <w:pStyle w:val="4"/>
        <w:widowControl/>
        <w:adjustRightInd w:val="0"/>
        <w:spacing w:before="0" w:after="0" w:line="360" w:lineRule="auto"/>
        <w:jc w:val="left"/>
        <w:rPr>
          <w:rFonts w:eastAsia="黑体" w:cs="Times New Roman"/>
          <w:b w:val="0"/>
          <w:bCs w:val="0"/>
          <w:kern w:val="0"/>
          <w:sz w:val="28"/>
          <w:szCs w:val="28"/>
        </w:rPr>
      </w:pPr>
      <w:bookmarkStart w:id="8" w:name="_Toc198651995"/>
      <w:r>
        <w:rPr>
          <w:rFonts w:eastAsia="黑体" w:cs="Times New Roman"/>
          <w:b w:val="0"/>
          <w:bCs w:val="0"/>
          <w:kern w:val="0"/>
          <w:sz w:val="28"/>
          <w:szCs w:val="28"/>
        </w:rPr>
        <w:t>1.1.5自然资源</w:t>
      </w:r>
      <w:bookmarkEnd w:id="8"/>
    </w:p>
    <w:p w14:paraId="7852ED45">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矿产资源</w:t>
      </w:r>
    </w:p>
    <w:p w14:paraId="206572E5">
      <w:pPr>
        <w:widowControl/>
        <w:adjustRightInd w:val="0"/>
        <w:ind w:firstLine="560" w:firstLineChars="200"/>
        <w:rPr>
          <w:rFonts w:cs="Times New Roman"/>
          <w:sz w:val="28"/>
          <w:szCs w:val="28"/>
        </w:rPr>
      </w:pPr>
      <w:r>
        <w:rPr>
          <w:rFonts w:hint="eastAsia" w:cs="Times New Roman"/>
          <w:sz w:val="28"/>
          <w:szCs w:val="28"/>
        </w:rPr>
        <w:t>九原区境内矿产资源种类多，分布范围广，个别矿种储量可观。主要有黑色金属（铁）、贵金属（黄金）、冶金辅料、建筑材料等，在各类矿产中矿种单一，分布极不均匀，地质储量差别较大，优势矿种为黄金、矿泉水、建筑材料（建筑用砂、石料及砖瓦粘土矿）。</w:t>
      </w:r>
    </w:p>
    <w:p w14:paraId="6EF5745C">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植物资源</w:t>
      </w:r>
    </w:p>
    <w:p w14:paraId="597DDDF7">
      <w:pPr>
        <w:widowControl/>
        <w:adjustRightInd w:val="0"/>
        <w:ind w:firstLine="560" w:firstLineChars="200"/>
        <w:rPr>
          <w:rFonts w:cs="Times New Roman"/>
          <w:sz w:val="28"/>
          <w:szCs w:val="28"/>
        </w:rPr>
      </w:pPr>
      <w:r>
        <w:rPr>
          <w:rFonts w:hint="eastAsia" w:cs="Times New Roman"/>
          <w:sz w:val="28"/>
          <w:szCs w:val="28"/>
        </w:rPr>
        <w:t>九原区乌拉山天然优势树种有侧柏、杜松、山榆、杨等，灌木有黄刺玫、山樱桃等，草本有针矛、冷蒿、白草等。海拔1700m以上生长有少量白桦，海拔1300—1500m阴坡半阴坡生长有山榆、柞树、梭树等，部分有中生性灌丛伴生，主要有小柴科黄芦木、蕃薇科枸子木、金露梅蒙古扁桃、黄刺梅、绣线菊、小叶锦鸡儿等。平原地区主要树种有杨、柳、榆、沙枣、</w:t>
      </w:r>
      <w:r>
        <w:rPr>
          <w:rFonts w:hint="eastAsia" w:cs="Times New Roman"/>
          <w:sz w:val="28"/>
          <w:szCs w:val="28"/>
          <w:lang w:eastAsia="zh-CN"/>
        </w:rPr>
        <w:t>槭</w:t>
      </w:r>
      <w:r>
        <w:rPr>
          <w:rFonts w:hint="eastAsia" w:cs="Times New Roman"/>
          <w:sz w:val="28"/>
          <w:szCs w:val="28"/>
        </w:rPr>
        <w:t>树、苹果等，灌木有红柳、乌柳、柠条、枸杞、紫穗槐等。在河湖低洼及沼泽地生长有苔草、香蒲、三菱草等。全区主要树种有云杉、樟子松、油松、侧柏、杜松、桧柏、杨树、山杨、柳树、蒙古栎、榆树、白桦、蒙梭、国槐、</w:t>
      </w:r>
      <w:r>
        <w:rPr>
          <w:rFonts w:hint="eastAsia" w:cs="Times New Roman"/>
          <w:sz w:val="28"/>
          <w:szCs w:val="28"/>
          <w:lang w:eastAsia="zh-CN"/>
        </w:rPr>
        <w:t>槭</w:t>
      </w:r>
      <w:r>
        <w:rPr>
          <w:rFonts w:hint="eastAsia" w:cs="Times New Roman"/>
          <w:sz w:val="28"/>
          <w:szCs w:val="28"/>
        </w:rPr>
        <w:t>树、沙枣、</w:t>
      </w:r>
      <w:bookmarkStart w:id="263" w:name="_GoBack"/>
      <w:bookmarkEnd w:id="263"/>
      <w:r>
        <w:rPr>
          <w:rFonts w:hint="eastAsia" w:cs="Times New Roman"/>
          <w:sz w:val="28"/>
          <w:szCs w:val="28"/>
        </w:rPr>
        <w:t>苹果、桃、李、杏、枣、白蜡树、格柳、黄刺玫、山樱桃，共25个树种。有维管束植物64科227属356种，其中蕨类植物7科14种，裸子植物3科11种，被子植物54科331种。其中，珍稀濒危植物2种，有草麻黄和蒙古扁桃。食用野生植物有发菜（地毛）、地木耳（地皮菜）、麻叶荨麻、反枝苋、马齿苋、苣葵菜（甜苣）、砂葱。蜜源野生植物有水蓼、黄戴戴、播娘篙、木荀子、胡枝子、马莲、菟丝子等。工业用野生植物有罗布麻（茶叶花、野麻）、蒙古香蒲、芦苇、笈笈草（枳机草）、山杏、天仙子、播娘篙。药用野生植物约150余种，主要是甘草、麻黄、防风、柴胡、苍术、枸杞、紫苏、薄荷、益母草、远志、知母等。此外，境内还有灭虫害野生植物曼陀罗、篇蓄、水蓼、龙葵（天茄子）。境内还有国家三类、内蒙古二类珍稀濒危野生保护植物两种：阴山荠和野大豆。阴山荠产于梅力更沟，株高30—50cm。</w:t>
      </w:r>
    </w:p>
    <w:p w14:paraId="4CB91FFA">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3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⑶</w:t>
      </w:r>
      <w:r>
        <w:rPr>
          <w:rFonts w:cs="Times New Roman"/>
          <w:sz w:val="28"/>
          <w:szCs w:val="28"/>
        </w:rPr>
        <w:fldChar w:fldCharType="end"/>
      </w:r>
      <w:r>
        <w:rPr>
          <w:rFonts w:hint="eastAsia" w:cs="Times New Roman"/>
          <w:sz w:val="28"/>
          <w:szCs w:val="28"/>
        </w:rPr>
        <w:t>动物资源</w:t>
      </w:r>
    </w:p>
    <w:p w14:paraId="750C8C17">
      <w:pPr>
        <w:widowControl/>
        <w:adjustRightInd w:val="0"/>
        <w:ind w:firstLine="560" w:firstLineChars="200"/>
        <w:rPr>
          <w:rFonts w:cs="Times New Roman"/>
          <w:sz w:val="28"/>
          <w:szCs w:val="28"/>
        </w:rPr>
      </w:pPr>
      <w:r>
        <w:rPr>
          <w:rFonts w:hint="eastAsia" w:cs="Times New Roman"/>
          <w:sz w:val="28"/>
          <w:szCs w:val="28"/>
        </w:rPr>
        <w:t>九原区的动物地理区划虽属古北界、蒙新区，东部草原亚区与华北区、黄土高原亚区的交界处，但是，由于地处于阴山山地和黄河冲积平原，动物组成并未呈现典型草原动物特点，而以森林动物为主要特征。境内有鸟类13目30科110种，其中国家Ⅰ级保护鸟类有金雕、黑鹳、玉带海雕、白尾海雕4种，Ⅱ级保护鸟类有秃鹫、苍鹰、松雀鹰、雀鹰、黑鸢、毛脚鬻、普通焉、大蔫、棕尾蔫、红脚隼、灰背隼、红隼、猎隼、燕隼、黄爪隼、纵纹腹小鸮、长耳鸮、短耳鸮、雕鸮、白腹海雕、鹗21种。鸟类资源分留鸟、候鸟、旅鸟。留鸟有斑翅山鹑、石鸡、三道眉草鸥、猫头鹰、巨嘴沙雀、褐头山雀、树麻雀、山噪鹃、毛腿沙鸡、凤头百灵、喜鹊、鸢、寒鸦等。境内两栖动物有2目4种：大蟾蜍、花背蟾蜍、黑斑蛙、中国林蛙。爬行动物有3目5种：草原沙蜥、丽斑麻蜥，黄脊游蛇、虎斑游蛇、鳖（甲鱼）。哺乳动物6目12科32种，其中，国家Ⅱ级保护兽类有兔狲、狁痢、斑羚3种。爬行类动物2目6科10种，其中，无尾目2科4种，有鳞目4科6种。鼠在境内数量大，境内有4科10种：松鼠科草原黄鼠（大眼贼）、跳鼠科五趾跳鼠（跳教儿）、鼠科褐家鼠、小家鼠、仓鼠科短耳仓鼠、黑线仓鼠、长爪沙鼠，子午沙鼠、小毛足鼠、麝鼠。</w:t>
      </w:r>
    </w:p>
    <w:p w14:paraId="7D673920">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4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⑷</w:t>
      </w:r>
      <w:r>
        <w:rPr>
          <w:rFonts w:cs="Times New Roman"/>
          <w:sz w:val="28"/>
          <w:szCs w:val="28"/>
        </w:rPr>
        <w:fldChar w:fldCharType="end"/>
      </w:r>
      <w:r>
        <w:rPr>
          <w:rFonts w:hint="eastAsia" w:cs="Times New Roman"/>
          <w:sz w:val="28"/>
          <w:szCs w:val="28"/>
        </w:rPr>
        <w:t>水资源</w:t>
      </w:r>
    </w:p>
    <w:p w14:paraId="339F1263">
      <w:pPr>
        <w:widowControl/>
        <w:adjustRightInd w:val="0"/>
        <w:ind w:firstLine="560" w:firstLineChars="200"/>
        <w:rPr>
          <w:rFonts w:cs="Times New Roman"/>
          <w:sz w:val="28"/>
          <w:szCs w:val="28"/>
        </w:rPr>
      </w:pPr>
      <w:r>
        <w:rPr>
          <w:rFonts w:hint="eastAsia" w:cs="Times New Roman"/>
          <w:sz w:val="28"/>
          <w:szCs w:val="28"/>
        </w:rPr>
        <w:t>九原区境内地表水主要来源为降雨、黄河水和山沟清洪水，而地下水的主要补给源是区外地下水的潜流运动向区内的补给和地表水的入渗补给。根据《内蒙古自治区第三次全国水资源调查评价技术报告》，九原区多年平均地表水资源量为823万m</w:t>
      </w:r>
      <w:r>
        <w:rPr>
          <w:rFonts w:hint="eastAsia" w:cs="Times New Roman"/>
          <w:sz w:val="28"/>
          <w:szCs w:val="28"/>
          <w:vertAlign w:val="superscript"/>
        </w:rPr>
        <w:t>3</w:t>
      </w:r>
      <w:r>
        <w:rPr>
          <w:rFonts w:hint="eastAsia" w:cs="Times New Roman"/>
          <w:sz w:val="28"/>
          <w:szCs w:val="28"/>
        </w:rPr>
        <w:t>，地下水资源量（矿化度≤2g/L）为3618万m</w:t>
      </w:r>
      <w:r>
        <w:rPr>
          <w:rFonts w:hint="eastAsia" w:cs="Times New Roman"/>
          <w:sz w:val="28"/>
          <w:szCs w:val="28"/>
          <w:vertAlign w:val="superscript"/>
        </w:rPr>
        <w:t>3</w:t>
      </w:r>
      <w:r>
        <w:rPr>
          <w:rFonts w:hint="eastAsia" w:cs="Times New Roman"/>
          <w:sz w:val="28"/>
          <w:szCs w:val="28"/>
        </w:rPr>
        <w:t>，扣除地表水与地下水重复计算量415万m</w:t>
      </w:r>
      <w:r>
        <w:rPr>
          <w:rFonts w:hint="eastAsia" w:cs="Times New Roman"/>
          <w:sz w:val="28"/>
          <w:szCs w:val="28"/>
          <w:vertAlign w:val="superscript"/>
        </w:rPr>
        <w:t>3</w:t>
      </w:r>
      <w:r>
        <w:rPr>
          <w:rFonts w:hint="eastAsia" w:cs="Times New Roman"/>
          <w:sz w:val="28"/>
          <w:szCs w:val="28"/>
        </w:rPr>
        <w:t>，九原区多年平均水资源总量为4026万m</w:t>
      </w:r>
      <w:r>
        <w:rPr>
          <w:rFonts w:hint="eastAsia" w:cs="Times New Roman"/>
          <w:sz w:val="28"/>
          <w:szCs w:val="28"/>
          <w:vertAlign w:val="superscript"/>
        </w:rPr>
        <w:t>3</w:t>
      </w:r>
      <w:r>
        <w:rPr>
          <w:rFonts w:hint="eastAsia" w:cs="Times New Roman"/>
          <w:sz w:val="28"/>
          <w:szCs w:val="28"/>
        </w:rPr>
        <w:t>。</w:t>
      </w:r>
    </w:p>
    <w:p w14:paraId="58F28630">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9" w:name="_Toc198651996"/>
      <w:r>
        <w:rPr>
          <w:rFonts w:ascii="Times New Roman" w:hAnsi="Times New Roman" w:eastAsia="黑体" w:cs="Times New Roman"/>
          <w:b w:val="0"/>
          <w:bCs w:val="0"/>
          <w:kern w:val="0"/>
          <w:sz w:val="28"/>
          <w:szCs w:val="28"/>
        </w:rPr>
        <w:t>1.2</w:t>
      </w:r>
      <w:r>
        <w:rPr>
          <w:rFonts w:hint="eastAsia" w:ascii="Times New Roman" w:hAnsi="Times New Roman" w:eastAsia="黑体" w:cs="Times New Roman"/>
          <w:b w:val="0"/>
          <w:bCs w:val="0"/>
          <w:kern w:val="0"/>
          <w:sz w:val="28"/>
          <w:szCs w:val="28"/>
        </w:rPr>
        <w:t>水利基础设施建设现状</w:t>
      </w:r>
      <w:bookmarkEnd w:id="9"/>
    </w:p>
    <w:p w14:paraId="6B12D23A">
      <w:pPr>
        <w:pStyle w:val="4"/>
        <w:widowControl/>
        <w:adjustRightInd w:val="0"/>
        <w:spacing w:before="0" w:after="0" w:line="360" w:lineRule="auto"/>
        <w:jc w:val="left"/>
        <w:rPr>
          <w:rFonts w:eastAsia="黑体" w:cs="Times New Roman"/>
          <w:b w:val="0"/>
          <w:bCs w:val="0"/>
          <w:kern w:val="0"/>
          <w:sz w:val="28"/>
          <w:szCs w:val="28"/>
        </w:rPr>
      </w:pPr>
      <w:bookmarkStart w:id="10" w:name="_Toc198651997"/>
      <w:r>
        <w:rPr>
          <w:rFonts w:eastAsia="黑体" w:cs="Times New Roman"/>
          <w:b w:val="0"/>
          <w:bCs w:val="0"/>
          <w:kern w:val="0"/>
          <w:sz w:val="28"/>
          <w:szCs w:val="28"/>
        </w:rPr>
        <w:t>1.2.1节水控水工作</w:t>
      </w:r>
      <w:bookmarkEnd w:id="10"/>
    </w:p>
    <w:p w14:paraId="4C17DF66">
      <w:pPr>
        <w:widowControl/>
        <w:adjustRightInd w:val="0"/>
        <w:ind w:firstLine="560" w:firstLineChars="200"/>
        <w:rPr>
          <w:rFonts w:cs="Times New Roman"/>
          <w:sz w:val="28"/>
          <w:szCs w:val="28"/>
        </w:rPr>
      </w:pPr>
      <w:r>
        <w:rPr>
          <w:rFonts w:hint="eastAsia" w:cs="Times New Roman"/>
          <w:sz w:val="28"/>
          <w:szCs w:val="28"/>
        </w:rPr>
        <w:t>九原区</w:t>
      </w:r>
      <w:r>
        <w:rPr>
          <w:rFonts w:cs="Times New Roman"/>
          <w:sz w:val="28"/>
          <w:szCs w:val="28"/>
        </w:rPr>
        <w:t>节水设施能力逐步完善。先后实施高标准农田建设</w:t>
      </w:r>
      <w:r>
        <w:rPr>
          <w:rFonts w:hint="eastAsia" w:cs="Times New Roman"/>
          <w:sz w:val="28"/>
          <w:szCs w:val="28"/>
        </w:rPr>
        <w:t>、“以电折水”农业灌溉计量设施</w:t>
      </w:r>
      <w:r>
        <w:rPr>
          <w:rFonts w:cs="Times New Roman"/>
          <w:sz w:val="28"/>
          <w:szCs w:val="28"/>
        </w:rPr>
        <w:t>等农业节水项目，全</w:t>
      </w:r>
      <w:r>
        <w:rPr>
          <w:rFonts w:hint="eastAsia" w:cs="Times New Roman"/>
          <w:sz w:val="28"/>
          <w:szCs w:val="28"/>
        </w:rPr>
        <w:t>区</w:t>
      </w:r>
      <w:r>
        <w:rPr>
          <w:rFonts w:cs="Times New Roman"/>
          <w:sz w:val="28"/>
          <w:szCs w:val="28"/>
        </w:rPr>
        <w:t>推广喷灌、微灌、膜下滴灌等节水措施，截止202</w:t>
      </w:r>
      <w:r>
        <w:rPr>
          <w:rFonts w:hint="eastAsia" w:cs="Times New Roman"/>
          <w:sz w:val="28"/>
          <w:szCs w:val="28"/>
        </w:rPr>
        <w:t>3</w:t>
      </w:r>
      <w:r>
        <w:rPr>
          <w:rFonts w:cs="Times New Roman"/>
          <w:sz w:val="28"/>
          <w:szCs w:val="28"/>
        </w:rPr>
        <w:t>年底，累计建设节水灌溉面积</w:t>
      </w:r>
      <w:r>
        <w:rPr>
          <w:rFonts w:hint="eastAsia" w:cs="Times New Roman"/>
          <w:sz w:val="28"/>
          <w:szCs w:val="28"/>
        </w:rPr>
        <w:t>12</w:t>
      </w:r>
      <w:r>
        <w:rPr>
          <w:rFonts w:cs="Times New Roman"/>
          <w:sz w:val="28"/>
          <w:szCs w:val="28"/>
        </w:rPr>
        <w:t>余万亩，全区农田灌溉水利用系数</w:t>
      </w:r>
      <w:r>
        <w:rPr>
          <w:rFonts w:hint="eastAsia" w:cs="Times New Roman"/>
          <w:sz w:val="28"/>
          <w:szCs w:val="28"/>
        </w:rPr>
        <w:t>为</w:t>
      </w:r>
      <w:r>
        <w:rPr>
          <w:rFonts w:cs="Times New Roman"/>
          <w:sz w:val="28"/>
          <w:szCs w:val="28"/>
        </w:rPr>
        <w:t>0.6</w:t>
      </w:r>
      <w:r>
        <w:rPr>
          <w:rFonts w:hint="eastAsia" w:cs="Times New Roman"/>
          <w:sz w:val="28"/>
          <w:szCs w:val="28"/>
        </w:rPr>
        <w:t>7</w:t>
      </w:r>
      <w:r>
        <w:rPr>
          <w:rFonts w:cs="Times New Roman"/>
          <w:sz w:val="28"/>
          <w:szCs w:val="28"/>
        </w:rPr>
        <w:t>，城市公共供水管网漏损率控制在</w:t>
      </w:r>
      <w:r>
        <w:rPr>
          <w:rFonts w:hint="eastAsia" w:cs="Times New Roman"/>
          <w:sz w:val="28"/>
          <w:szCs w:val="28"/>
        </w:rPr>
        <w:t>7.93</w:t>
      </w:r>
      <w:r>
        <w:rPr>
          <w:rFonts w:cs="Times New Roman"/>
          <w:sz w:val="28"/>
          <w:szCs w:val="28"/>
        </w:rPr>
        <w:t>%以内，再生水回用率</w:t>
      </w:r>
      <w:r>
        <w:rPr>
          <w:rFonts w:hint="eastAsia" w:cs="Times New Roman"/>
          <w:sz w:val="28"/>
          <w:szCs w:val="28"/>
        </w:rPr>
        <w:t>为77</w:t>
      </w:r>
      <w:r>
        <w:rPr>
          <w:rFonts w:cs="Times New Roman"/>
          <w:sz w:val="28"/>
          <w:szCs w:val="28"/>
        </w:rPr>
        <w:t>%。</w:t>
      </w:r>
    </w:p>
    <w:p w14:paraId="4F01FBE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用水总量控制</w:t>
      </w:r>
    </w:p>
    <w:p w14:paraId="62168561">
      <w:pPr>
        <w:widowControl/>
        <w:adjustRightInd w:val="0"/>
        <w:ind w:firstLine="560" w:firstLineChars="200"/>
        <w:rPr>
          <w:rFonts w:cs="Times New Roman"/>
          <w:sz w:val="28"/>
          <w:szCs w:val="28"/>
        </w:rPr>
      </w:pPr>
      <w:r>
        <w:rPr>
          <w:rFonts w:cs="Times New Roman"/>
          <w:sz w:val="28"/>
          <w:szCs w:val="28"/>
        </w:rPr>
        <w:t>202</w:t>
      </w:r>
      <w:r>
        <w:rPr>
          <w:rFonts w:hint="eastAsia" w:cs="Times New Roman"/>
          <w:sz w:val="28"/>
          <w:szCs w:val="28"/>
        </w:rPr>
        <w:t>3</w:t>
      </w:r>
      <w:r>
        <w:rPr>
          <w:rFonts w:cs="Times New Roman"/>
          <w:sz w:val="28"/>
          <w:szCs w:val="28"/>
        </w:rPr>
        <w:t>年，</w:t>
      </w:r>
      <w:r>
        <w:rPr>
          <w:rFonts w:hint="eastAsia" w:cs="Times New Roman"/>
          <w:sz w:val="28"/>
          <w:szCs w:val="28"/>
        </w:rPr>
        <w:t>九原区</w:t>
      </w:r>
      <w:r>
        <w:rPr>
          <w:rFonts w:cs="Times New Roman"/>
          <w:sz w:val="28"/>
          <w:szCs w:val="28"/>
        </w:rPr>
        <w:t>水资源开发利用总量</w:t>
      </w:r>
      <w:bookmarkStart w:id="11" w:name="OLE_LINK8"/>
      <w:r>
        <w:rPr>
          <w:rFonts w:hint="eastAsia" w:cs="Times New Roman"/>
          <w:sz w:val="28"/>
          <w:szCs w:val="28"/>
        </w:rPr>
        <w:t>9770.98</w:t>
      </w:r>
      <w:bookmarkEnd w:id="11"/>
      <w:r>
        <w:rPr>
          <w:rFonts w:hint="eastAsia" w:cs="Times New Roman"/>
          <w:sz w:val="28"/>
          <w:szCs w:val="28"/>
        </w:rPr>
        <w:t>万m</w:t>
      </w:r>
      <w:r>
        <w:rPr>
          <w:rFonts w:hint="eastAsia" w:cs="Times New Roman"/>
          <w:sz w:val="28"/>
          <w:szCs w:val="28"/>
          <w:vertAlign w:val="superscript"/>
        </w:rPr>
        <w:t>3</w:t>
      </w:r>
      <w:r>
        <w:rPr>
          <w:rFonts w:cs="Times New Roman"/>
          <w:sz w:val="28"/>
          <w:szCs w:val="28"/>
        </w:rPr>
        <w:t>，占控制指标的</w:t>
      </w:r>
      <w:r>
        <w:rPr>
          <w:rFonts w:hint="eastAsia" w:cs="Times New Roman"/>
          <w:sz w:val="28"/>
          <w:szCs w:val="28"/>
        </w:rPr>
        <w:t>77.6</w:t>
      </w:r>
      <w:r>
        <w:rPr>
          <w:rFonts w:cs="Times New Roman"/>
          <w:sz w:val="28"/>
          <w:szCs w:val="28"/>
        </w:rPr>
        <w:t>%，其中，地表水用量</w:t>
      </w:r>
      <w:r>
        <w:rPr>
          <w:rFonts w:hint="eastAsia" w:cs="Times New Roman"/>
          <w:sz w:val="28"/>
          <w:szCs w:val="28"/>
        </w:rPr>
        <w:t>2168万m</w:t>
      </w:r>
      <w:r>
        <w:rPr>
          <w:rFonts w:hint="eastAsia" w:cs="Times New Roman"/>
          <w:sz w:val="28"/>
          <w:szCs w:val="28"/>
          <w:vertAlign w:val="superscript"/>
        </w:rPr>
        <w:t>3</w:t>
      </w:r>
      <w:r>
        <w:rPr>
          <w:rFonts w:cs="Times New Roman"/>
          <w:sz w:val="28"/>
          <w:szCs w:val="28"/>
        </w:rPr>
        <w:t>，占控制指标的</w:t>
      </w:r>
      <w:r>
        <w:rPr>
          <w:rFonts w:hint="eastAsia" w:cs="Times New Roman"/>
          <w:sz w:val="28"/>
          <w:szCs w:val="28"/>
        </w:rPr>
        <w:t>21.7</w:t>
      </w:r>
      <w:r>
        <w:rPr>
          <w:rFonts w:cs="Times New Roman"/>
          <w:sz w:val="28"/>
          <w:szCs w:val="28"/>
        </w:rPr>
        <w:t>%</w:t>
      </w:r>
      <w:r>
        <w:rPr>
          <w:rFonts w:hint="eastAsia" w:cs="Times New Roman"/>
          <w:sz w:val="28"/>
          <w:szCs w:val="28"/>
        </w:rPr>
        <w:t>，</w:t>
      </w:r>
      <w:r>
        <w:rPr>
          <w:rFonts w:cs="Times New Roman"/>
          <w:sz w:val="28"/>
          <w:szCs w:val="28"/>
        </w:rPr>
        <w:t>地下水</w:t>
      </w:r>
      <w:r>
        <w:rPr>
          <w:rFonts w:hint="eastAsia" w:cs="Times New Roman"/>
          <w:sz w:val="28"/>
          <w:szCs w:val="28"/>
        </w:rPr>
        <w:t>5483万m</w:t>
      </w:r>
      <w:r>
        <w:rPr>
          <w:rFonts w:hint="eastAsia" w:cs="Times New Roman"/>
          <w:sz w:val="28"/>
          <w:szCs w:val="28"/>
          <w:vertAlign w:val="superscript"/>
        </w:rPr>
        <w:t>3</w:t>
      </w:r>
      <w:r>
        <w:rPr>
          <w:rFonts w:cs="Times New Roman"/>
          <w:sz w:val="28"/>
          <w:szCs w:val="28"/>
        </w:rPr>
        <w:t>，占控制指标的</w:t>
      </w:r>
      <w:r>
        <w:rPr>
          <w:rFonts w:hint="eastAsia" w:cs="Times New Roman"/>
          <w:sz w:val="28"/>
          <w:szCs w:val="28"/>
        </w:rPr>
        <w:t>54.8</w:t>
      </w:r>
      <w:r>
        <w:rPr>
          <w:rFonts w:cs="Times New Roman"/>
          <w:sz w:val="28"/>
          <w:szCs w:val="28"/>
        </w:rPr>
        <w:t>%。从水资源配置来看，一方面</w:t>
      </w:r>
      <w:r>
        <w:rPr>
          <w:rFonts w:hint="eastAsia" w:cs="Times New Roman"/>
          <w:sz w:val="28"/>
          <w:szCs w:val="28"/>
        </w:rPr>
        <w:t>全区</w:t>
      </w:r>
      <w:r>
        <w:rPr>
          <w:rFonts w:cs="Times New Roman"/>
          <w:sz w:val="28"/>
          <w:szCs w:val="28"/>
        </w:rPr>
        <w:t>近百分之</w:t>
      </w:r>
      <w:r>
        <w:rPr>
          <w:rFonts w:hint="eastAsia" w:cs="Times New Roman"/>
          <w:sz w:val="28"/>
          <w:szCs w:val="28"/>
        </w:rPr>
        <w:t>三</w:t>
      </w:r>
      <w:r>
        <w:rPr>
          <w:rFonts w:cs="Times New Roman"/>
          <w:sz w:val="28"/>
          <w:szCs w:val="28"/>
        </w:rPr>
        <w:t>十的水指标未利用，另一方面全</w:t>
      </w:r>
      <w:r>
        <w:rPr>
          <w:rFonts w:hint="eastAsia" w:cs="Times New Roman"/>
          <w:sz w:val="28"/>
          <w:szCs w:val="28"/>
        </w:rPr>
        <w:t>区</w:t>
      </w:r>
      <w:r>
        <w:rPr>
          <w:rFonts w:cs="Times New Roman"/>
          <w:sz w:val="28"/>
          <w:szCs w:val="28"/>
        </w:rPr>
        <w:t>的地下水特别是农业灌溉地下水用量较大，局部地区已面临超采。为进一步优化水资源配置，提升水资源综合利用效率，根据全</w:t>
      </w:r>
      <w:r>
        <w:rPr>
          <w:rFonts w:hint="eastAsia" w:cs="Times New Roman"/>
          <w:sz w:val="28"/>
          <w:szCs w:val="28"/>
        </w:rPr>
        <w:t>区</w:t>
      </w:r>
      <w:r>
        <w:rPr>
          <w:rFonts w:cs="Times New Roman"/>
          <w:sz w:val="28"/>
          <w:szCs w:val="28"/>
        </w:rPr>
        <w:t>水资源状况和发展需求，结合农业灌溉、工业园区、城镇绿化用水需求和灌区建设管理实际情况，围绕地下水置换项目、产业园区引供水项目、地表水灌区提升改造项目等多个项目，解决</w:t>
      </w:r>
      <w:r>
        <w:rPr>
          <w:rFonts w:hint="eastAsia" w:cs="Times New Roman"/>
          <w:sz w:val="28"/>
          <w:szCs w:val="28"/>
        </w:rPr>
        <w:t>九原区</w:t>
      </w:r>
      <w:r>
        <w:rPr>
          <w:rFonts w:cs="Times New Roman"/>
          <w:sz w:val="28"/>
          <w:szCs w:val="28"/>
        </w:rPr>
        <w:t>绿化、工业园区生产、现代农牧业集聚区生产生活的用水需求。</w:t>
      </w:r>
    </w:p>
    <w:p w14:paraId="5B721830">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用水效率</w:t>
      </w:r>
    </w:p>
    <w:p w14:paraId="5C06D69A">
      <w:pPr>
        <w:widowControl/>
        <w:adjustRightInd w:val="0"/>
        <w:ind w:firstLine="560" w:firstLineChars="200"/>
        <w:rPr>
          <w:rFonts w:cs="Times New Roman"/>
          <w:sz w:val="28"/>
          <w:szCs w:val="28"/>
        </w:rPr>
      </w:pPr>
      <w:r>
        <w:rPr>
          <w:rFonts w:hint="eastAsia" w:cs="Times New Roman"/>
          <w:sz w:val="28"/>
          <w:szCs w:val="28"/>
        </w:rPr>
        <w:t>九原区</w:t>
      </w:r>
      <w:r>
        <w:rPr>
          <w:rFonts w:cs="Times New Roman"/>
          <w:sz w:val="28"/>
          <w:szCs w:val="28"/>
        </w:rPr>
        <w:t>大力推进农业节水增效、工业节水减排、城镇节水降损。全区农田灌溉水利用系数</w:t>
      </w:r>
      <w:r>
        <w:rPr>
          <w:rFonts w:hint="eastAsia" w:cs="Times New Roman"/>
          <w:sz w:val="28"/>
          <w:szCs w:val="28"/>
        </w:rPr>
        <w:t>为</w:t>
      </w:r>
      <w:r>
        <w:rPr>
          <w:rFonts w:cs="Times New Roman"/>
          <w:sz w:val="28"/>
          <w:szCs w:val="28"/>
        </w:rPr>
        <w:t>0.</w:t>
      </w:r>
      <w:r>
        <w:rPr>
          <w:rFonts w:hint="eastAsia" w:cs="Times New Roman"/>
          <w:sz w:val="28"/>
          <w:szCs w:val="28"/>
        </w:rPr>
        <w:t>67</w:t>
      </w:r>
      <w:r>
        <w:rPr>
          <w:rFonts w:cs="Times New Roman"/>
          <w:sz w:val="28"/>
          <w:szCs w:val="28"/>
        </w:rPr>
        <w:t>，实现了从“大水漫灌”向“精准滴灌”的转变。</w:t>
      </w:r>
      <w:r>
        <w:rPr>
          <w:rFonts w:hint="eastAsia" w:cs="Times New Roman"/>
          <w:sz w:val="28"/>
          <w:szCs w:val="28"/>
        </w:rPr>
        <w:t>通过</w:t>
      </w:r>
      <w:r>
        <w:rPr>
          <w:rFonts w:cs="Times New Roman"/>
          <w:sz w:val="28"/>
          <w:szCs w:val="28"/>
        </w:rPr>
        <w:t>强化工业计划用水和定额管理，严格按照用水定额和产品规模下达用水计划，规模以上取用水户计划用水下达率达到100%。严把审批环节，不符合节约用水要求的工业项目一律不得通过，新建项目严格执行节水“三同时”制度，确保节水设施与主体工程同时设计、同时施工、同时投入使用，原有项目进行节水技术改造，实施退水处理利用、节水器具推广、水源替换等措施减少废水排放，提高水循环利用，全面提升工业节水能力和水平。</w:t>
      </w:r>
    </w:p>
    <w:p w14:paraId="1507B26F">
      <w:pPr>
        <w:widowControl/>
        <w:adjustRightInd w:val="0"/>
        <w:ind w:firstLine="560" w:firstLineChars="200"/>
        <w:rPr>
          <w:rFonts w:cs="Times New Roman"/>
          <w:sz w:val="28"/>
          <w:szCs w:val="28"/>
        </w:rPr>
      </w:pPr>
      <w:r>
        <w:rPr>
          <w:rFonts w:cs="Times New Roman"/>
          <w:sz w:val="28"/>
          <w:szCs w:val="28"/>
        </w:rPr>
        <w:t>202</w:t>
      </w:r>
      <w:r>
        <w:rPr>
          <w:rFonts w:hint="eastAsia" w:cs="Times New Roman"/>
          <w:sz w:val="28"/>
          <w:szCs w:val="28"/>
        </w:rPr>
        <w:t>3</w:t>
      </w:r>
      <w:r>
        <w:rPr>
          <w:rFonts w:cs="Times New Roman"/>
          <w:sz w:val="28"/>
          <w:szCs w:val="28"/>
        </w:rPr>
        <w:t>年度全</w:t>
      </w:r>
      <w:r>
        <w:rPr>
          <w:rFonts w:hint="eastAsia" w:cs="Times New Roman"/>
          <w:sz w:val="28"/>
          <w:szCs w:val="28"/>
        </w:rPr>
        <w:t>区</w:t>
      </w:r>
      <w:r>
        <w:rPr>
          <w:rFonts w:cs="Times New Roman"/>
          <w:sz w:val="28"/>
          <w:szCs w:val="28"/>
        </w:rPr>
        <w:t>用水总量为</w:t>
      </w:r>
      <w:r>
        <w:rPr>
          <w:rFonts w:hint="eastAsia" w:cs="Times New Roman"/>
          <w:sz w:val="28"/>
          <w:szCs w:val="28"/>
        </w:rPr>
        <w:t>9770.98万m</w:t>
      </w:r>
      <w:r>
        <w:rPr>
          <w:rFonts w:hint="eastAsia" w:cs="Times New Roman"/>
          <w:sz w:val="28"/>
          <w:szCs w:val="28"/>
          <w:vertAlign w:val="superscript"/>
        </w:rPr>
        <w:t>3</w:t>
      </w:r>
      <w:r>
        <w:rPr>
          <w:rFonts w:cs="Times New Roman"/>
          <w:sz w:val="28"/>
          <w:szCs w:val="28"/>
        </w:rPr>
        <w:t>，万元GDP用水量较20</w:t>
      </w:r>
      <w:r>
        <w:rPr>
          <w:rFonts w:hint="eastAsia" w:cs="Times New Roman"/>
          <w:sz w:val="28"/>
          <w:szCs w:val="28"/>
        </w:rPr>
        <w:t>20</w:t>
      </w:r>
      <w:r>
        <w:rPr>
          <w:rFonts w:cs="Times New Roman"/>
          <w:sz w:val="28"/>
          <w:szCs w:val="28"/>
        </w:rPr>
        <w:t>年下降</w:t>
      </w:r>
      <w:r>
        <w:rPr>
          <w:rFonts w:hint="eastAsia" w:cs="Times New Roman"/>
          <w:sz w:val="28"/>
          <w:szCs w:val="28"/>
        </w:rPr>
        <w:t>41.9</w:t>
      </w:r>
      <w:r>
        <w:rPr>
          <w:rFonts w:cs="Times New Roman"/>
          <w:sz w:val="28"/>
          <w:szCs w:val="28"/>
        </w:rPr>
        <w:t>%。202</w:t>
      </w:r>
      <w:r>
        <w:rPr>
          <w:rFonts w:hint="eastAsia" w:cs="Times New Roman"/>
          <w:sz w:val="28"/>
          <w:szCs w:val="28"/>
        </w:rPr>
        <w:t>3年</w:t>
      </w:r>
      <w:r>
        <w:rPr>
          <w:rFonts w:cs="Times New Roman"/>
          <w:sz w:val="28"/>
          <w:szCs w:val="28"/>
        </w:rPr>
        <w:t>度全区工业用水总量为</w:t>
      </w:r>
      <w:r>
        <w:rPr>
          <w:rFonts w:hint="eastAsia" w:cs="Times New Roman"/>
          <w:sz w:val="28"/>
          <w:szCs w:val="28"/>
        </w:rPr>
        <w:t>1420</w:t>
      </w:r>
      <w:r>
        <w:rPr>
          <w:rFonts w:cs="Times New Roman"/>
          <w:sz w:val="28"/>
          <w:szCs w:val="28"/>
        </w:rPr>
        <w:t>万</w:t>
      </w:r>
      <w:r>
        <w:rPr>
          <w:rFonts w:hint="eastAsia" w:cs="Times New Roman"/>
          <w:sz w:val="28"/>
          <w:szCs w:val="28"/>
        </w:rPr>
        <w:t>m</w:t>
      </w:r>
      <w:r>
        <w:rPr>
          <w:rFonts w:hint="eastAsia" w:cs="Times New Roman"/>
          <w:sz w:val="28"/>
          <w:szCs w:val="28"/>
          <w:vertAlign w:val="superscript"/>
        </w:rPr>
        <w:t>3</w:t>
      </w:r>
      <w:r>
        <w:rPr>
          <w:rFonts w:cs="Times New Roman"/>
          <w:sz w:val="28"/>
          <w:szCs w:val="28"/>
        </w:rPr>
        <w:t>，万元工业增加值用水量较2020年下降</w:t>
      </w:r>
      <w:r>
        <w:rPr>
          <w:rFonts w:hint="eastAsia" w:cs="Times New Roman"/>
          <w:sz w:val="28"/>
          <w:szCs w:val="28"/>
        </w:rPr>
        <w:t>41</w:t>
      </w:r>
      <w:r>
        <w:rPr>
          <w:rFonts w:cs="Times New Roman"/>
          <w:sz w:val="28"/>
          <w:szCs w:val="28"/>
        </w:rPr>
        <w:t>%。</w:t>
      </w:r>
      <w:r>
        <w:rPr>
          <w:rFonts w:hint="eastAsia" w:cs="Times New Roman"/>
          <w:sz w:val="28"/>
          <w:szCs w:val="28"/>
        </w:rPr>
        <w:t>九原区</w:t>
      </w:r>
      <w:r>
        <w:rPr>
          <w:rFonts w:cs="Times New Roman"/>
          <w:sz w:val="28"/>
          <w:szCs w:val="28"/>
        </w:rPr>
        <w:t>严格落实计划用水管理工作，对取用城镇公共供水的用水大户全部实行计划用水管理，及时下达年度计划用水指标。通过实施供水管网改造、节水器具推广、节水型城市创建及再生水利用等项目，深入推进城镇节水工作，城镇节水水平明显提升。</w:t>
      </w:r>
    </w:p>
    <w:p w14:paraId="6354F7C8">
      <w:pPr>
        <w:widowControl/>
        <w:adjustRightInd w:val="0"/>
        <w:ind w:firstLine="560" w:firstLineChars="200"/>
        <w:rPr>
          <w:rFonts w:cs="Times New Roman"/>
          <w:sz w:val="28"/>
          <w:szCs w:val="28"/>
        </w:rPr>
      </w:pPr>
      <w:r>
        <w:rPr>
          <w:rFonts w:cs="Times New Roman"/>
          <w:sz w:val="28"/>
          <w:szCs w:val="28"/>
        </w:rPr>
        <w:t>持续推进全社会节水行动。按照“节水优先、空间均衡、系统治理、两手发力”的治水思路，紧紧围绕“水利工程补短板、水利行业强监管”</w:t>
      </w:r>
      <w:r>
        <w:rPr>
          <w:rFonts w:hint="eastAsia" w:cs="Times New Roman"/>
          <w:sz w:val="28"/>
          <w:szCs w:val="28"/>
          <w:lang w:eastAsia="zh-CN"/>
        </w:rPr>
        <w:t>工作</w:t>
      </w:r>
      <w:r>
        <w:rPr>
          <w:rFonts w:cs="Times New Roman"/>
          <w:sz w:val="28"/>
          <w:szCs w:val="28"/>
        </w:rPr>
        <w:t>总基调要求，积极开展节水型社会达标建设工作。在“世界水日”、“中国水周”期间开展主题宣传活动，通过新闻媒体、网络、报刊等方式进行全面的节水宣传。</w:t>
      </w:r>
    </w:p>
    <w:p w14:paraId="4DB29AFB">
      <w:pPr>
        <w:pStyle w:val="4"/>
        <w:widowControl/>
        <w:adjustRightInd w:val="0"/>
        <w:spacing w:before="0" w:after="0" w:line="360" w:lineRule="auto"/>
        <w:jc w:val="left"/>
        <w:rPr>
          <w:rFonts w:eastAsia="黑体" w:cs="Times New Roman"/>
          <w:b w:val="0"/>
          <w:bCs w:val="0"/>
          <w:kern w:val="0"/>
          <w:sz w:val="28"/>
          <w:szCs w:val="28"/>
        </w:rPr>
      </w:pPr>
      <w:bookmarkStart w:id="12" w:name="_Toc198651998"/>
      <w:r>
        <w:rPr>
          <w:rFonts w:eastAsia="黑体" w:cs="Times New Roman"/>
          <w:b w:val="0"/>
          <w:bCs w:val="0"/>
          <w:kern w:val="0"/>
          <w:sz w:val="28"/>
          <w:szCs w:val="28"/>
        </w:rPr>
        <w:t>1.2.2供水安全保障能力</w:t>
      </w:r>
      <w:bookmarkEnd w:id="12"/>
    </w:p>
    <w:p w14:paraId="0E401C64">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农村供水工程</w:t>
      </w:r>
    </w:p>
    <w:p w14:paraId="5989CCDF">
      <w:pPr>
        <w:widowControl/>
        <w:adjustRightInd w:val="0"/>
        <w:ind w:firstLine="560" w:firstLineChars="200"/>
        <w:rPr>
          <w:rFonts w:cs="Times New Roman"/>
          <w:sz w:val="28"/>
          <w:szCs w:val="28"/>
        </w:rPr>
      </w:pPr>
      <w:r>
        <w:rPr>
          <w:rFonts w:hint="eastAsia" w:cs="Times New Roman"/>
          <w:sz w:val="28"/>
          <w:szCs w:val="28"/>
        </w:rPr>
        <w:t>截止到2023年底，九原区农村牧区供水工程覆盖人口123155人，全部实现供水到户，供水到户率100%。但大部分供水工程为单村供水，供水方式为定时供水，到目前九原区规模化集中供水工程（24小时供水）人口比例仅为20%。</w:t>
      </w:r>
    </w:p>
    <w:p w14:paraId="5A7C72F9">
      <w:pPr>
        <w:widowControl/>
        <w:adjustRightInd w:val="0"/>
        <w:ind w:firstLine="560" w:firstLineChars="200"/>
        <w:rPr>
          <w:rFonts w:cs="Times New Roman"/>
          <w:sz w:val="28"/>
          <w:szCs w:val="28"/>
        </w:rPr>
      </w:pPr>
      <w:r>
        <w:rPr>
          <w:rFonts w:hint="eastAsia" w:cs="Times New Roman"/>
          <w:sz w:val="28"/>
          <w:szCs w:val="28"/>
        </w:rPr>
        <w:t>九原区农村牧区供水工程现状分为规模化集中供水工程、安置小区供水工程和单村集中供水工程3种模式。已建成规模化集中供水工程有3处，为麻池集中供水工程、萨如拉集中供水工程和哈业胡同南部集中供水工程。已建成的安置小区供水工程有9处，分别为哈林格尔镇的土黑麻淖新村，萨如拉办事处的瑞丽佳园，麻池镇的向日葵小区、北新社区、阳光小区、景福家园、北滩古城小区、明天科技和神鹿社区。单村集中供水工程共72处，覆盖哈业胡同镇、阿嘎如泰苏木、哈林格尔镇、麻池镇、萨如拉街道和白音席勒街道所辖的全部自然村。</w:t>
      </w:r>
    </w:p>
    <w:p w14:paraId="2354A288">
      <w:pPr>
        <w:widowControl/>
        <w:adjustRightInd w:val="0"/>
        <w:ind w:firstLine="560" w:firstLineChars="200"/>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地表灌区供水工程</w:t>
      </w:r>
    </w:p>
    <w:p w14:paraId="57F07B87">
      <w:pPr>
        <w:widowControl/>
        <w:adjustRightInd w:val="0"/>
        <w:ind w:firstLine="560" w:firstLineChars="200"/>
        <w:rPr>
          <w:rFonts w:cs="Times New Roman"/>
          <w:sz w:val="28"/>
          <w:szCs w:val="28"/>
        </w:rPr>
      </w:pPr>
      <w:r>
        <w:rPr>
          <w:rFonts w:hint="eastAsia" w:cs="Times New Roman"/>
          <w:sz w:val="28"/>
          <w:szCs w:val="28"/>
        </w:rPr>
        <w:t>三湖河灌区是九原区唯一重点中型灌区，为哈业胡同、哈林格尔两镇提供灌溉服务，保障灌区范围内农业用水，承担防汛排涝、水利工程设施维护养护等公益性服务工作。灌区设计灌溉面积10.8万亩，有效灌溉面积10.01万亩，实际灌溉面积9.05万亩，干渠2条，支渠4条，监控干支渠计量设施8个，全年灌溉水量1285.36万m</w:t>
      </w:r>
      <w:r>
        <w:rPr>
          <w:rFonts w:hint="eastAsia" w:cs="Times New Roman"/>
          <w:sz w:val="28"/>
          <w:szCs w:val="28"/>
          <w:vertAlign w:val="superscript"/>
        </w:rPr>
        <w:t>3</w:t>
      </w:r>
      <w:r>
        <w:rPr>
          <w:rFonts w:hint="eastAsia" w:cs="Times New Roman"/>
          <w:sz w:val="28"/>
          <w:szCs w:val="28"/>
        </w:rPr>
        <w:t>。九原区三湖河灌区干支渠长总度56.019km。分别为：打不素干渠长度7.705km、全巴图干渠长度3.636km、公益支渠长度9.951km、东大支渠长度14.156km、公济支渠长度14.825km、五一支渠长度5.746km。现有建筑物240座。分别为：二级扬水泵站4座，节制闸16座，进水闸184座，涵洞桥36座。取水许可量为2300万m³/年。</w:t>
      </w:r>
    </w:p>
    <w:p w14:paraId="53919943">
      <w:pPr>
        <w:pStyle w:val="4"/>
        <w:widowControl/>
        <w:adjustRightInd w:val="0"/>
        <w:spacing w:before="0" w:after="0" w:line="360" w:lineRule="auto"/>
        <w:jc w:val="left"/>
        <w:rPr>
          <w:rFonts w:eastAsia="黑体" w:cs="Times New Roman"/>
          <w:b w:val="0"/>
          <w:bCs w:val="0"/>
          <w:color w:val="FF0000"/>
          <w:kern w:val="0"/>
          <w:sz w:val="28"/>
          <w:szCs w:val="28"/>
        </w:rPr>
      </w:pPr>
      <w:bookmarkStart w:id="13" w:name="_Toc198651999"/>
      <w:r>
        <w:rPr>
          <w:rFonts w:eastAsia="黑体" w:cs="Times New Roman"/>
          <w:b w:val="0"/>
          <w:bCs w:val="0"/>
          <w:kern w:val="0"/>
          <w:sz w:val="28"/>
          <w:szCs w:val="28"/>
        </w:rPr>
        <w:t>1.2.3</w:t>
      </w:r>
      <w:bookmarkStart w:id="14" w:name="OLE_LINK12"/>
      <w:r>
        <w:rPr>
          <w:rFonts w:eastAsia="黑体" w:cs="Times New Roman"/>
          <w:b w:val="0"/>
          <w:bCs w:val="0"/>
          <w:kern w:val="0"/>
          <w:sz w:val="28"/>
          <w:szCs w:val="28"/>
        </w:rPr>
        <w:t>防洪减灾</w:t>
      </w:r>
      <w:r>
        <w:rPr>
          <w:rFonts w:hint="eastAsia" w:eastAsia="黑体" w:cs="Times New Roman"/>
          <w:b w:val="0"/>
          <w:bCs w:val="0"/>
          <w:kern w:val="0"/>
          <w:sz w:val="28"/>
          <w:szCs w:val="28"/>
        </w:rPr>
        <w:t>现状</w:t>
      </w:r>
      <w:bookmarkEnd w:id="13"/>
    </w:p>
    <w:bookmarkEnd w:id="14"/>
    <w:p w14:paraId="4AC89E85">
      <w:pPr>
        <w:widowControl/>
        <w:adjustRightInd w:val="0"/>
        <w:ind w:firstLine="560" w:firstLineChars="200"/>
        <w:rPr>
          <w:rFonts w:cs="Times New Roman"/>
          <w:sz w:val="28"/>
          <w:szCs w:val="28"/>
        </w:rPr>
      </w:pPr>
      <w:r>
        <w:rPr>
          <w:rFonts w:hint="eastAsia" w:cs="Times New Roman"/>
          <w:sz w:val="28"/>
          <w:szCs w:val="28"/>
        </w:rPr>
        <w:t>九原区现状防洪工程分布在区内主要河流上，其中四道沙河、二道沙河是重点，从区域上讲分城镇和乡村两部分，城镇主要是昆都仑河和四道沙河防洪体系。</w:t>
      </w:r>
    </w:p>
    <w:p w14:paraId="3669C95E">
      <w:pPr>
        <w:widowControl/>
        <w:adjustRightInd w:val="0"/>
        <w:ind w:firstLine="560" w:firstLineChars="200"/>
        <w:rPr>
          <w:rFonts w:cs="Times New Roman"/>
          <w:sz w:val="28"/>
          <w:szCs w:val="28"/>
        </w:rPr>
      </w:pPr>
      <w:r>
        <w:rPr>
          <w:rFonts w:hint="eastAsia" w:cs="Times New Roman"/>
          <w:sz w:val="28"/>
          <w:szCs w:val="28"/>
        </w:rPr>
        <w:t>昆都仑河防洪体系由水库及堤防工程组成：昆都仑河发源于固阳九原区银号乡大庙，在固阳九原区城由西北转向西南，经公益明乡，在朝阳乡进入峡谷石质山区，从前口子出沟口后自北向南穿越包头市昆都仑区，最后由哈林格尔乡三银才圪堵的东南方汇入黄河。昆都仑河总流域面积2761km</w:t>
      </w:r>
      <w:r>
        <w:rPr>
          <w:rFonts w:hint="eastAsia" w:cs="Times New Roman"/>
          <w:sz w:val="28"/>
          <w:szCs w:val="28"/>
          <w:vertAlign w:val="superscript"/>
        </w:rPr>
        <w:t>2</w:t>
      </w:r>
      <w:r>
        <w:rPr>
          <w:rFonts w:hint="eastAsia" w:cs="Times New Roman"/>
          <w:sz w:val="28"/>
          <w:szCs w:val="28"/>
        </w:rPr>
        <w:t>，干流全长142.7km，其中昆都仑水库以上河长 111.6km、昆都仑水库下至黄河汇口段全长31.1km。昆都仑水库以下段河道先后穿过京藏高速公路、110国道、市区内各主要街道、包兰铁路、南绕城公路和神华煤制烯烃铁路，最终汇入黄河，区间汇水面积104km</w:t>
      </w:r>
      <w:r>
        <w:rPr>
          <w:rFonts w:hint="eastAsia" w:cs="Times New Roman"/>
          <w:sz w:val="28"/>
          <w:szCs w:val="28"/>
          <w:vertAlign w:val="superscript"/>
        </w:rPr>
        <w:t>2</w:t>
      </w:r>
      <w:r>
        <w:rPr>
          <w:rFonts w:hint="eastAsia" w:cs="Times New Roman"/>
          <w:sz w:val="28"/>
          <w:szCs w:val="28"/>
        </w:rPr>
        <w:t>。</w:t>
      </w:r>
    </w:p>
    <w:p w14:paraId="677012DD">
      <w:pPr>
        <w:widowControl/>
        <w:adjustRightInd w:val="0"/>
        <w:ind w:firstLine="560" w:firstLineChars="200"/>
        <w:rPr>
          <w:rFonts w:cs="Times New Roman"/>
          <w:b/>
          <w:bCs/>
          <w:sz w:val="28"/>
          <w:szCs w:val="28"/>
        </w:rPr>
      </w:pPr>
      <w:r>
        <w:rPr>
          <w:rFonts w:hint="eastAsia" w:cs="Times New Roman"/>
          <w:sz w:val="28"/>
          <w:szCs w:val="28"/>
        </w:rPr>
        <w:t>四道沙河防洪体系由北郊截洪沟及河道堤防组成：四道沙河位于青山区一机厂、二机厂东侧，除承纳北郊防洪沟和拦截边墙壕至王老大嵛子一带坡面洪水外，还承纳老虎沟、富家沟洪水，流域面积90.72km</w:t>
      </w:r>
      <w:r>
        <w:rPr>
          <w:rFonts w:cs="Times New Roman"/>
          <w:sz w:val="28"/>
          <w:szCs w:val="28"/>
          <w:vertAlign w:val="superscript"/>
        </w:rPr>
        <w:t>2</w:t>
      </w:r>
      <w:r>
        <w:rPr>
          <w:rFonts w:hint="eastAsia" w:cs="Times New Roman"/>
          <w:sz w:val="28"/>
          <w:szCs w:val="28"/>
        </w:rPr>
        <w:t>，长17km。由内蒙一机厂铁路桥下至昌福窑子4.5km，宽约20m，深约3m，纵坡为1/100-l/155，河床由砂卵石组成。两岸为土岸，穿越建设路后，河槽沿低洼地经尹六窑子、共青农场等地汇入黄河。</w:t>
      </w:r>
    </w:p>
    <w:p w14:paraId="51908BA4">
      <w:pPr>
        <w:pStyle w:val="4"/>
        <w:widowControl/>
        <w:adjustRightInd w:val="0"/>
        <w:spacing w:before="0" w:after="0" w:line="360" w:lineRule="auto"/>
        <w:jc w:val="left"/>
        <w:rPr>
          <w:rFonts w:eastAsia="黑体" w:cs="Times New Roman"/>
          <w:b w:val="0"/>
          <w:bCs w:val="0"/>
          <w:kern w:val="0"/>
          <w:sz w:val="28"/>
          <w:szCs w:val="28"/>
        </w:rPr>
      </w:pPr>
      <w:bookmarkStart w:id="15" w:name="_Toc198652000"/>
      <w:r>
        <w:rPr>
          <w:rFonts w:eastAsia="黑体" w:cs="Times New Roman"/>
          <w:b w:val="0"/>
          <w:bCs w:val="0"/>
          <w:kern w:val="0"/>
          <w:sz w:val="28"/>
          <w:szCs w:val="28"/>
        </w:rPr>
        <w:t>1.2.4水生态环境</w:t>
      </w:r>
      <w:r>
        <w:rPr>
          <w:rFonts w:hint="eastAsia" w:eastAsia="黑体" w:cs="Times New Roman"/>
          <w:b w:val="0"/>
          <w:bCs w:val="0"/>
          <w:kern w:val="0"/>
          <w:sz w:val="28"/>
          <w:szCs w:val="28"/>
        </w:rPr>
        <w:t>现状</w:t>
      </w:r>
      <w:bookmarkEnd w:id="15"/>
    </w:p>
    <w:p w14:paraId="4C7A6EA1">
      <w:pPr>
        <w:widowControl/>
        <w:adjustRightInd w:val="0"/>
        <w:ind w:firstLine="560" w:firstLineChars="200"/>
        <w:rPr>
          <w:rFonts w:cs="Times New Roman"/>
          <w:sz w:val="28"/>
          <w:szCs w:val="28"/>
        </w:rPr>
      </w:pPr>
      <w:r>
        <w:rPr>
          <w:rFonts w:hint="eastAsia" w:cs="Times New Roman"/>
          <w:sz w:val="28"/>
          <w:szCs w:val="28"/>
        </w:rPr>
        <w:t>九原区的地表水为黄河水，其余河流为季节性河流。水污染源为城镇附近的污水主要以生活和加工业废水为主，主要污染物为硫化物及悬浮物。排污量约为226万m</w:t>
      </w:r>
      <w:r>
        <w:rPr>
          <w:rFonts w:hint="eastAsia" w:cs="Times New Roman"/>
          <w:sz w:val="28"/>
          <w:szCs w:val="28"/>
          <w:vertAlign w:val="superscript"/>
        </w:rPr>
        <w:t>3</w:t>
      </w:r>
      <w:r>
        <w:rPr>
          <w:rFonts w:hint="eastAsia" w:cs="Times New Roman"/>
          <w:sz w:val="28"/>
          <w:szCs w:val="28"/>
        </w:rPr>
        <w:t>/年。全区80%的供水水源地的水质为Ⅲ类水，适于各种用途；局部地区个别组份超标，为Ⅳ-V类水，需经处理后使用。</w:t>
      </w:r>
    </w:p>
    <w:p w14:paraId="4DD64EDE">
      <w:pPr>
        <w:widowControl/>
        <w:adjustRightInd w:val="0"/>
        <w:ind w:firstLine="560" w:firstLineChars="200"/>
        <w:rPr>
          <w:rFonts w:cs="Times New Roman"/>
          <w:sz w:val="28"/>
          <w:szCs w:val="28"/>
        </w:rPr>
      </w:pPr>
      <w:r>
        <w:rPr>
          <w:rFonts w:hint="eastAsia" w:cs="Times New Roman"/>
          <w:sz w:val="28"/>
          <w:szCs w:val="28"/>
        </w:rPr>
        <w:t>九原区大力推行河湖长制、加强河湖湿地保护修复，在重点河湖实施湿地修复、缓冲带建设等河湖生态修复治理工程。2021~2022年，已经完成了哈德门沟等12条河流的水生态廊道建设任务。同时，持续开展河湖“清四乱”工作，坚决贯彻落实自治区和包头市关于持续开展河湖“四乱”清理整治工作部署。市、区、乡镇级三级河湖长累计巡河湖3000余人次，区级河湖长巡查河湖200余人次，累计出动人工千余人次，动用各类机械设备100台、清理垃圾约200余吨，水环境质量明显提升，河湖面貌稳步改善。</w:t>
      </w:r>
    </w:p>
    <w:p w14:paraId="6051F168">
      <w:pPr>
        <w:pStyle w:val="4"/>
        <w:widowControl/>
        <w:adjustRightInd w:val="0"/>
        <w:spacing w:before="0" w:after="0" w:line="360" w:lineRule="auto"/>
        <w:jc w:val="left"/>
        <w:rPr>
          <w:rFonts w:eastAsia="黑体" w:cs="Times New Roman"/>
          <w:b w:val="0"/>
          <w:bCs w:val="0"/>
          <w:kern w:val="0"/>
          <w:sz w:val="28"/>
          <w:szCs w:val="28"/>
        </w:rPr>
      </w:pPr>
      <w:bookmarkStart w:id="16" w:name="_Toc198652001"/>
      <w:r>
        <w:rPr>
          <w:rFonts w:eastAsia="黑体" w:cs="Times New Roman"/>
          <w:b w:val="0"/>
          <w:bCs w:val="0"/>
          <w:kern w:val="0"/>
          <w:sz w:val="28"/>
          <w:szCs w:val="28"/>
        </w:rPr>
        <w:t>1.2.</w:t>
      </w:r>
      <w:r>
        <w:rPr>
          <w:rFonts w:hint="eastAsia" w:eastAsia="黑体" w:cs="Times New Roman"/>
          <w:b w:val="0"/>
          <w:bCs w:val="0"/>
          <w:kern w:val="0"/>
          <w:sz w:val="28"/>
          <w:szCs w:val="28"/>
        </w:rPr>
        <w:t>5</w:t>
      </w:r>
      <w:r>
        <w:rPr>
          <w:rFonts w:eastAsia="黑体" w:cs="Times New Roman"/>
          <w:b w:val="0"/>
          <w:bCs w:val="0"/>
          <w:kern w:val="0"/>
          <w:sz w:val="28"/>
          <w:szCs w:val="28"/>
        </w:rPr>
        <w:t>管理体制机制</w:t>
      </w:r>
      <w:bookmarkEnd w:id="16"/>
    </w:p>
    <w:p w14:paraId="775A5C88">
      <w:pPr>
        <w:widowControl/>
        <w:adjustRightInd w:val="0"/>
        <w:ind w:firstLine="560" w:firstLineChars="200"/>
        <w:rPr>
          <w:rFonts w:cs="Times New Roman"/>
          <w:sz w:val="28"/>
          <w:szCs w:val="28"/>
        </w:rPr>
      </w:pPr>
      <w:r>
        <w:rPr>
          <w:rFonts w:hint="eastAsia" w:cs="Times New Roman"/>
          <w:sz w:val="28"/>
          <w:szCs w:val="28"/>
        </w:rPr>
        <w:t>九原区全区水利通讯设施和水利监测手段较薄弱，影响到水资源的合理开发利用和水利工程的科学有效运行。由于水利监测与水利通信基础设施建设的滞后，致使信息传递不及时、不畅通，应变能力差，在水资源利用与保护中，不能及时、全面地掌握信息，往往只有当事情发生了以后才采取措施造成工作中的被动。在信息资源综合的应用方面，没有建立起专业管理数据库，墒情、雨情站点少，水文观测、地下水观测、水保监测、水质监测覆盖面小。</w:t>
      </w:r>
    </w:p>
    <w:p w14:paraId="462F09AC">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7" w:name="_Toc198652002"/>
      <w:r>
        <w:rPr>
          <w:rFonts w:ascii="Times New Roman" w:hAnsi="Times New Roman" w:eastAsia="黑体" w:cs="Times New Roman"/>
          <w:b w:val="0"/>
          <w:bCs w:val="0"/>
          <w:kern w:val="0"/>
          <w:sz w:val="28"/>
          <w:szCs w:val="28"/>
        </w:rPr>
        <w:t>1.3存在问题</w:t>
      </w:r>
      <w:r>
        <w:rPr>
          <w:rFonts w:hint="eastAsia" w:ascii="Times New Roman" w:hAnsi="Times New Roman" w:eastAsia="黑体" w:cs="Times New Roman"/>
          <w:b w:val="0"/>
          <w:bCs w:val="0"/>
          <w:kern w:val="0"/>
          <w:sz w:val="28"/>
          <w:szCs w:val="28"/>
        </w:rPr>
        <w:t>及解决方案</w:t>
      </w:r>
      <w:bookmarkEnd w:id="17"/>
    </w:p>
    <w:p w14:paraId="09FE9CED">
      <w:pPr>
        <w:widowControl/>
        <w:adjustRightInd w:val="0"/>
        <w:ind w:firstLine="560" w:firstLineChars="200"/>
        <w:rPr>
          <w:rFonts w:cs="Times New Roman"/>
          <w:sz w:val="28"/>
          <w:szCs w:val="28"/>
        </w:rPr>
      </w:pPr>
      <w:r>
        <w:rPr>
          <w:rFonts w:cs="Times New Roman"/>
          <w:sz w:val="28"/>
          <w:szCs w:val="28"/>
        </w:rPr>
        <w:t>经过多年建设，包头市</w:t>
      </w:r>
      <w:r>
        <w:rPr>
          <w:rFonts w:hint="eastAsia" w:cs="Times New Roman"/>
          <w:sz w:val="28"/>
          <w:szCs w:val="28"/>
        </w:rPr>
        <w:t>九原区</w:t>
      </w:r>
      <w:r>
        <w:rPr>
          <w:rFonts w:cs="Times New Roman"/>
          <w:sz w:val="28"/>
          <w:szCs w:val="28"/>
        </w:rPr>
        <w:t>水网框架雏形初显，但系统性完整性不足，缺乏水网体系的顶层谋划，水利基础设施网络与经济社会高质量发展和生态系统高水平保护之间的不平衡不充分问题仍然十分突出，推进包头市</w:t>
      </w:r>
      <w:r>
        <w:rPr>
          <w:rFonts w:hint="eastAsia" w:cs="Times New Roman"/>
          <w:sz w:val="28"/>
          <w:szCs w:val="28"/>
        </w:rPr>
        <w:t>九原区</w:t>
      </w:r>
      <w:r>
        <w:rPr>
          <w:rFonts w:cs="Times New Roman"/>
          <w:sz w:val="28"/>
          <w:szCs w:val="28"/>
        </w:rPr>
        <w:t>水网建设还存在诸多问题与挑战。</w:t>
      </w:r>
    </w:p>
    <w:p w14:paraId="35286655">
      <w:pPr>
        <w:pStyle w:val="4"/>
        <w:widowControl/>
        <w:adjustRightInd w:val="0"/>
        <w:spacing w:before="0" w:after="0" w:line="360" w:lineRule="auto"/>
        <w:jc w:val="left"/>
        <w:rPr>
          <w:rFonts w:eastAsia="黑体" w:cs="Times New Roman"/>
          <w:b w:val="0"/>
          <w:bCs w:val="0"/>
          <w:kern w:val="0"/>
          <w:sz w:val="28"/>
          <w:szCs w:val="28"/>
        </w:rPr>
      </w:pPr>
      <w:bookmarkStart w:id="18" w:name="_Toc198652003"/>
      <w:r>
        <w:rPr>
          <w:rFonts w:eastAsia="黑体" w:cs="Times New Roman"/>
          <w:b w:val="0"/>
          <w:bCs w:val="0"/>
          <w:kern w:val="0"/>
          <w:sz w:val="28"/>
          <w:szCs w:val="28"/>
        </w:rPr>
        <w:t>1.</w:t>
      </w:r>
      <w:r>
        <w:rPr>
          <w:rFonts w:hint="eastAsia" w:eastAsia="黑体" w:cs="Times New Roman"/>
          <w:b w:val="0"/>
          <w:bCs w:val="0"/>
          <w:kern w:val="0"/>
          <w:sz w:val="28"/>
          <w:szCs w:val="28"/>
        </w:rPr>
        <w:t>3</w:t>
      </w:r>
      <w:r>
        <w:rPr>
          <w:rFonts w:eastAsia="黑体" w:cs="Times New Roman"/>
          <w:b w:val="0"/>
          <w:bCs w:val="0"/>
          <w:kern w:val="0"/>
          <w:sz w:val="28"/>
          <w:szCs w:val="28"/>
        </w:rPr>
        <w:t>.1节水控水</w:t>
      </w:r>
      <w:r>
        <w:rPr>
          <w:rFonts w:hint="eastAsia" w:eastAsia="黑体" w:cs="Times New Roman"/>
          <w:b w:val="0"/>
          <w:bCs w:val="0"/>
          <w:kern w:val="0"/>
          <w:sz w:val="28"/>
          <w:szCs w:val="28"/>
        </w:rPr>
        <w:t>方面</w:t>
      </w:r>
      <w:bookmarkEnd w:id="18"/>
    </w:p>
    <w:p w14:paraId="3E787E81">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存在问题</w:t>
      </w:r>
    </w:p>
    <w:p w14:paraId="004378C6">
      <w:pPr>
        <w:widowControl/>
        <w:adjustRightInd w:val="0"/>
        <w:ind w:firstLine="560"/>
        <w:rPr>
          <w:rFonts w:cs="Times New Roman"/>
          <w:sz w:val="28"/>
          <w:szCs w:val="28"/>
        </w:rPr>
      </w:pPr>
      <w:r>
        <w:rPr>
          <w:rFonts w:hint="eastAsia" w:cs="Times New Roman"/>
          <w:sz w:val="28"/>
          <w:szCs w:val="28"/>
        </w:rPr>
        <w:t>①人均水资源量不足</w:t>
      </w:r>
    </w:p>
    <w:p w14:paraId="499EF1CC">
      <w:pPr>
        <w:widowControl/>
        <w:adjustRightInd w:val="0"/>
        <w:ind w:firstLine="560" w:firstLineChars="200"/>
        <w:rPr>
          <w:rFonts w:cs="Times New Roman"/>
          <w:sz w:val="28"/>
          <w:szCs w:val="28"/>
        </w:rPr>
      </w:pPr>
      <w:r>
        <w:rPr>
          <w:rFonts w:cs="Times New Roman"/>
          <w:sz w:val="28"/>
          <w:szCs w:val="28"/>
        </w:rPr>
        <w:t>根据自治区第三次水资源调查评价结果，</w:t>
      </w:r>
      <w:r>
        <w:rPr>
          <w:rFonts w:hint="eastAsia" w:cs="Times New Roman"/>
          <w:sz w:val="28"/>
          <w:szCs w:val="28"/>
        </w:rPr>
        <w:t>根据《评价技术报告》成果，九原区多年平均地表水资源量为823万m</w:t>
      </w:r>
      <w:r>
        <w:rPr>
          <w:rFonts w:hint="eastAsia" w:cs="Times New Roman"/>
          <w:sz w:val="28"/>
          <w:szCs w:val="28"/>
          <w:vertAlign w:val="superscript"/>
        </w:rPr>
        <w:t>3</w:t>
      </w:r>
      <w:r>
        <w:rPr>
          <w:rFonts w:hint="eastAsia" w:cs="Times New Roman"/>
          <w:sz w:val="28"/>
          <w:szCs w:val="28"/>
        </w:rPr>
        <w:t>，地下水资源量（矿化度≤2g/L）为3618万m</w:t>
      </w:r>
      <w:r>
        <w:rPr>
          <w:rFonts w:hint="eastAsia" w:cs="Times New Roman"/>
          <w:sz w:val="28"/>
          <w:szCs w:val="28"/>
          <w:vertAlign w:val="superscript"/>
        </w:rPr>
        <w:t>3</w:t>
      </w:r>
      <w:r>
        <w:rPr>
          <w:rFonts w:hint="eastAsia" w:cs="Times New Roman"/>
          <w:sz w:val="28"/>
          <w:szCs w:val="28"/>
        </w:rPr>
        <w:t>，扣除地表水与地下水重复计算量415万m</w:t>
      </w:r>
      <w:r>
        <w:rPr>
          <w:rFonts w:hint="eastAsia" w:cs="Times New Roman"/>
          <w:sz w:val="28"/>
          <w:szCs w:val="28"/>
          <w:vertAlign w:val="superscript"/>
        </w:rPr>
        <w:t>3</w:t>
      </w:r>
      <w:r>
        <w:rPr>
          <w:rFonts w:hint="eastAsia" w:cs="Times New Roman"/>
          <w:sz w:val="28"/>
          <w:szCs w:val="28"/>
        </w:rPr>
        <w:t>，九原区多年平均水资源总量为4026万m</w:t>
      </w:r>
      <w:r>
        <w:rPr>
          <w:rFonts w:hint="eastAsia" w:cs="Times New Roman"/>
          <w:sz w:val="28"/>
          <w:szCs w:val="28"/>
          <w:vertAlign w:val="superscript"/>
        </w:rPr>
        <w:t>3</w:t>
      </w:r>
      <w:r>
        <w:rPr>
          <w:rFonts w:hint="eastAsia" w:cs="Times New Roman"/>
          <w:sz w:val="28"/>
          <w:szCs w:val="28"/>
        </w:rPr>
        <w:t>。九原区</w:t>
      </w:r>
      <w:r>
        <w:rPr>
          <w:rFonts w:cs="Times New Roman"/>
          <w:sz w:val="28"/>
          <w:szCs w:val="28"/>
        </w:rPr>
        <w:t>多年平均本地水资源总量约占全</w:t>
      </w:r>
      <w:r>
        <w:rPr>
          <w:rFonts w:hint="eastAsia" w:cs="Times New Roman"/>
          <w:sz w:val="28"/>
          <w:szCs w:val="28"/>
        </w:rPr>
        <w:t>市</w:t>
      </w:r>
      <w:r>
        <w:rPr>
          <w:rFonts w:cs="Times New Roman"/>
          <w:sz w:val="28"/>
          <w:szCs w:val="28"/>
        </w:rPr>
        <w:t>的</w:t>
      </w:r>
      <w:r>
        <w:rPr>
          <w:rFonts w:hint="eastAsia" w:cs="Times New Roman"/>
          <w:sz w:val="28"/>
          <w:szCs w:val="28"/>
        </w:rPr>
        <w:t>18</w:t>
      </w:r>
      <w:r>
        <w:rPr>
          <w:rFonts w:cs="Times New Roman"/>
          <w:sz w:val="28"/>
          <w:szCs w:val="28"/>
        </w:rPr>
        <w:t>%，人均本地水资源量仅为</w:t>
      </w:r>
      <w:r>
        <w:rPr>
          <w:rFonts w:hint="eastAsia" w:cs="Times New Roman"/>
          <w:sz w:val="28"/>
          <w:szCs w:val="28"/>
        </w:rPr>
        <w:t>161</w:t>
      </w:r>
      <w:r>
        <w:rPr>
          <w:rFonts w:cs="Times New Roman"/>
          <w:sz w:val="28"/>
          <w:szCs w:val="28"/>
        </w:rPr>
        <w:t>m</w:t>
      </w:r>
      <w:r>
        <w:rPr>
          <w:rFonts w:cs="Times New Roman"/>
          <w:sz w:val="28"/>
          <w:szCs w:val="28"/>
          <w:vertAlign w:val="superscript"/>
        </w:rPr>
        <w:t>3</w:t>
      </w:r>
      <w:r>
        <w:rPr>
          <w:rFonts w:cs="Times New Roman"/>
          <w:sz w:val="28"/>
          <w:szCs w:val="28"/>
        </w:rPr>
        <w:t>，属于严重缺水</w:t>
      </w:r>
      <w:r>
        <w:rPr>
          <w:rFonts w:hint="eastAsia" w:cs="Times New Roman"/>
          <w:sz w:val="28"/>
          <w:szCs w:val="28"/>
        </w:rPr>
        <w:t>城市</w:t>
      </w:r>
      <w:r>
        <w:rPr>
          <w:rFonts w:cs="Times New Roman"/>
          <w:sz w:val="28"/>
          <w:szCs w:val="28"/>
        </w:rPr>
        <w:t>，且区域间分布不均衡，山北地区尤为缺水。各行业用水需求与水资源匮乏现状的矛盾日益突出，已成为制约</w:t>
      </w:r>
      <w:r>
        <w:rPr>
          <w:rFonts w:hint="eastAsia" w:cs="Times New Roman"/>
          <w:sz w:val="28"/>
          <w:szCs w:val="28"/>
        </w:rPr>
        <w:t>九原区</w:t>
      </w:r>
      <w:r>
        <w:rPr>
          <w:rFonts w:cs="Times New Roman"/>
          <w:sz w:val="28"/>
          <w:szCs w:val="28"/>
        </w:rPr>
        <w:t>经济社会发展的重要瓶颈。</w:t>
      </w:r>
    </w:p>
    <w:p w14:paraId="112456D5">
      <w:pPr>
        <w:widowControl/>
        <w:adjustRightInd w:val="0"/>
        <w:ind w:firstLine="560" w:firstLineChars="200"/>
        <w:rPr>
          <w:rFonts w:cs="Times New Roman"/>
          <w:sz w:val="28"/>
          <w:szCs w:val="28"/>
        </w:rPr>
      </w:pPr>
      <w:r>
        <w:rPr>
          <w:rFonts w:hint="eastAsia" w:cs="Times New Roman"/>
          <w:sz w:val="28"/>
          <w:szCs w:val="28"/>
        </w:rPr>
        <w:t>②</w:t>
      </w:r>
      <w:r>
        <w:rPr>
          <w:rFonts w:cs="Times New Roman"/>
          <w:sz w:val="28"/>
          <w:szCs w:val="28"/>
        </w:rPr>
        <w:t>水资源供需矛盾突出</w:t>
      </w:r>
    </w:p>
    <w:p w14:paraId="42A9F710">
      <w:pPr>
        <w:widowControl/>
        <w:adjustRightInd w:val="0"/>
        <w:ind w:firstLine="560" w:firstLineChars="200"/>
        <w:rPr>
          <w:rFonts w:cs="Times New Roman"/>
          <w:sz w:val="28"/>
          <w:szCs w:val="28"/>
        </w:rPr>
      </w:pPr>
      <w:r>
        <w:rPr>
          <w:rFonts w:hint="eastAsia" w:cs="Times New Roman"/>
          <w:sz w:val="28"/>
          <w:szCs w:val="28"/>
        </w:rPr>
        <w:t>九原区作为</w:t>
      </w:r>
      <w:r>
        <w:rPr>
          <w:rFonts w:cs="Times New Roman"/>
          <w:sz w:val="28"/>
          <w:szCs w:val="28"/>
        </w:rPr>
        <w:t>包头市</w:t>
      </w:r>
      <w:r>
        <w:rPr>
          <w:rFonts w:hint="eastAsia" w:cs="Times New Roman"/>
          <w:sz w:val="28"/>
          <w:szCs w:val="28"/>
        </w:rPr>
        <w:t>辖区</w:t>
      </w:r>
      <w:r>
        <w:rPr>
          <w:rFonts w:cs="Times New Roman"/>
          <w:sz w:val="28"/>
          <w:szCs w:val="28"/>
        </w:rPr>
        <w:t>，1987年黄河水指标分水时</w:t>
      </w:r>
      <w:r>
        <w:rPr>
          <w:rFonts w:hint="eastAsia" w:cs="Times New Roman"/>
          <w:sz w:val="28"/>
          <w:szCs w:val="28"/>
        </w:rPr>
        <w:t>九原区</w:t>
      </w:r>
      <w:r>
        <w:rPr>
          <w:rFonts w:cs="Times New Roman"/>
          <w:sz w:val="28"/>
          <w:szCs w:val="28"/>
        </w:rPr>
        <w:t>人口</w:t>
      </w:r>
      <w:r>
        <w:rPr>
          <w:rFonts w:hint="eastAsia" w:cs="Times New Roman"/>
          <w:sz w:val="28"/>
          <w:szCs w:val="28"/>
        </w:rPr>
        <w:t>16</w:t>
      </w:r>
      <w:r>
        <w:rPr>
          <w:rFonts w:cs="Times New Roman"/>
          <w:sz w:val="28"/>
          <w:szCs w:val="28"/>
        </w:rPr>
        <w:t>万人，到202</w:t>
      </w:r>
      <w:r>
        <w:rPr>
          <w:rFonts w:hint="eastAsia" w:cs="Times New Roman"/>
          <w:sz w:val="28"/>
          <w:szCs w:val="28"/>
        </w:rPr>
        <w:t>3</w:t>
      </w:r>
      <w:r>
        <w:rPr>
          <w:rFonts w:cs="Times New Roman"/>
          <w:sz w:val="28"/>
          <w:szCs w:val="28"/>
        </w:rPr>
        <w:t>年人口达</w:t>
      </w:r>
      <w:r>
        <w:rPr>
          <w:rFonts w:hint="eastAsia" w:cs="Times New Roman"/>
          <w:sz w:val="28"/>
          <w:szCs w:val="28"/>
        </w:rPr>
        <w:t>25</w:t>
      </w:r>
      <w:r>
        <w:rPr>
          <w:rFonts w:cs="Times New Roman"/>
          <w:sz w:val="28"/>
          <w:szCs w:val="28"/>
        </w:rPr>
        <w:t>万人，呈净增长趋势，人口多聚集在中心区域，城镇化率达到</w:t>
      </w:r>
      <w:r>
        <w:rPr>
          <w:rFonts w:hint="eastAsia" w:cs="Times New Roman"/>
          <w:sz w:val="28"/>
          <w:szCs w:val="28"/>
        </w:rPr>
        <w:t>73.8</w:t>
      </w:r>
      <w:r>
        <w:rPr>
          <w:rFonts w:cs="Times New Roman"/>
          <w:sz w:val="28"/>
          <w:szCs w:val="28"/>
        </w:rPr>
        <w:t>%，城市公共供水区域扩大、供水人口大幅增加，资源型缺水矛盾突出。</w:t>
      </w:r>
    </w:p>
    <w:p w14:paraId="452128E2">
      <w:pPr>
        <w:widowControl/>
        <w:adjustRightInd w:val="0"/>
        <w:ind w:firstLine="560" w:firstLineChars="200"/>
        <w:rPr>
          <w:rFonts w:cs="Times New Roman"/>
          <w:sz w:val="28"/>
          <w:szCs w:val="28"/>
        </w:rPr>
      </w:pPr>
      <w:r>
        <w:rPr>
          <w:rFonts w:hint="eastAsia" w:cs="Times New Roman"/>
          <w:sz w:val="28"/>
          <w:szCs w:val="28"/>
        </w:rPr>
        <w:t>③</w:t>
      </w:r>
      <w:r>
        <w:rPr>
          <w:rFonts w:cs="Times New Roman"/>
          <w:sz w:val="28"/>
          <w:szCs w:val="28"/>
        </w:rPr>
        <w:t>水资源利用效率有待提高</w:t>
      </w:r>
    </w:p>
    <w:p w14:paraId="0B06756A">
      <w:pPr>
        <w:widowControl/>
        <w:adjustRightInd w:val="0"/>
        <w:ind w:firstLine="560" w:firstLineChars="200"/>
        <w:rPr>
          <w:rFonts w:cs="Times New Roman"/>
          <w:sz w:val="28"/>
          <w:szCs w:val="28"/>
        </w:rPr>
      </w:pPr>
      <w:r>
        <w:rPr>
          <w:rFonts w:cs="Times New Roman"/>
          <w:sz w:val="28"/>
          <w:szCs w:val="28"/>
        </w:rPr>
        <w:t>202</w:t>
      </w:r>
      <w:r>
        <w:rPr>
          <w:rFonts w:hint="eastAsia" w:cs="Times New Roman"/>
          <w:sz w:val="28"/>
          <w:szCs w:val="28"/>
        </w:rPr>
        <w:t>3</w:t>
      </w:r>
      <w:r>
        <w:rPr>
          <w:rFonts w:cs="Times New Roman"/>
          <w:sz w:val="28"/>
          <w:szCs w:val="28"/>
        </w:rPr>
        <w:t>年</w:t>
      </w:r>
      <w:r>
        <w:rPr>
          <w:rFonts w:hint="eastAsia" w:cs="Times New Roman"/>
          <w:sz w:val="28"/>
          <w:szCs w:val="28"/>
        </w:rPr>
        <w:t>九原区</w:t>
      </w:r>
      <w:r>
        <w:rPr>
          <w:rFonts w:cs="Times New Roman"/>
          <w:sz w:val="28"/>
          <w:szCs w:val="28"/>
        </w:rPr>
        <w:t>人均综合用水量为</w:t>
      </w:r>
      <w:r>
        <w:rPr>
          <w:rFonts w:hint="eastAsia" w:cs="Times New Roman"/>
          <w:sz w:val="28"/>
          <w:szCs w:val="28"/>
        </w:rPr>
        <w:t>310</w:t>
      </w:r>
      <w:r>
        <w:rPr>
          <w:rFonts w:cs="Times New Roman"/>
          <w:sz w:val="28"/>
          <w:szCs w:val="28"/>
        </w:rPr>
        <w:t>m</w:t>
      </w:r>
      <w:r>
        <w:rPr>
          <w:rFonts w:cs="Times New Roman"/>
          <w:sz w:val="28"/>
          <w:szCs w:val="28"/>
          <w:vertAlign w:val="superscript"/>
        </w:rPr>
        <w:t>3</w:t>
      </w:r>
      <w:r>
        <w:rPr>
          <w:rFonts w:cs="Times New Roman"/>
          <w:sz w:val="28"/>
          <w:szCs w:val="28"/>
        </w:rPr>
        <w:t>，万元GDP用水量为</w:t>
      </w:r>
      <w:r>
        <w:rPr>
          <w:rFonts w:hint="eastAsia" w:cs="Times New Roman"/>
          <w:sz w:val="28"/>
          <w:szCs w:val="28"/>
        </w:rPr>
        <w:t>22.08</w:t>
      </w:r>
      <w:r>
        <w:rPr>
          <w:rFonts w:cs="Times New Roman"/>
          <w:sz w:val="28"/>
          <w:szCs w:val="28"/>
        </w:rPr>
        <w:t>m</w:t>
      </w:r>
      <w:r>
        <w:rPr>
          <w:rFonts w:cs="Times New Roman"/>
          <w:sz w:val="28"/>
          <w:szCs w:val="28"/>
          <w:vertAlign w:val="superscript"/>
        </w:rPr>
        <w:t>3</w:t>
      </w:r>
      <w:r>
        <w:rPr>
          <w:rFonts w:cs="Times New Roman"/>
          <w:sz w:val="28"/>
          <w:szCs w:val="28"/>
        </w:rPr>
        <w:t>，虽优于自治区平均水平，但对标沿黄先进水平仍存在一定差距；</w:t>
      </w:r>
      <w:r>
        <w:rPr>
          <w:rFonts w:hint="eastAsia" w:cs="Times New Roman"/>
          <w:sz w:val="28"/>
          <w:szCs w:val="28"/>
        </w:rPr>
        <w:t>九原区隶属包头市辖区，</w:t>
      </w:r>
      <w:r>
        <w:rPr>
          <w:rFonts w:cs="Times New Roman"/>
          <w:sz w:val="28"/>
          <w:szCs w:val="28"/>
        </w:rPr>
        <w:t>非常规水资源开发利用涉及多个部门，规划不衔接、投资保障不足导致配套设施建设滞后，存在企业不达标水违规排放的现象，部分污水处理厂生产的中水得不到利用。</w:t>
      </w:r>
    </w:p>
    <w:p w14:paraId="10760285">
      <w:pPr>
        <w:widowControl/>
        <w:adjustRightInd w:val="0"/>
        <w:ind w:firstLine="562" w:firstLineChars="200"/>
        <w:rPr>
          <w:rFonts w:cs="Times New Roman"/>
          <w:b/>
          <w:bCs/>
          <w:sz w:val="28"/>
          <w:szCs w:val="28"/>
        </w:rPr>
      </w:pPr>
      <w:bookmarkStart w:id="19" w:name="_Hlk195797057"/>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解决方案</w:t>
      </w:r>
      <w:bookmarkEnd w:id="19"/>
    </w:p>
    <w:p w14:paraId="0623395D">
      <w:pPr>
        <w:widowControl/>
        <w:adjustRightInd w:val="0"/>
        <w:ind w:firstLine="560" w:firstLineChars="200"/>
        <w:rPr>
          <w:rFonts w:cs="Times New Roman"/>
          <w:sz w:val="28"/>
          <w:szCs w:val="28"/>
        </w:rPr>
      </w:pPr>
      <w:r>
        <w:rPr>
          <w:rFonts w:hint="eastAsia" w:cs="Times New Roman"/>
          <w:sz w:val="28"/>
          <w:szCs w:val="28"/>
        </w:rPr>
        <w:t>针对九原区</w:t>
      </w:r>
      <w:bookmarkStart w:id="20" w:name="OLE_LINK13"/>
      <w:r>
        <w:rPr>
          <w:rFonts w:hint="eastAsia" w:cs="Times New Roman"/>
          <w:sz w:val="28"/>
          <w:szCs w:val="28"/>
        </w:rPr>
        <w:t>城区</w:t>
      </w:r>
      <w:r>
        <w:rPr>
          <w:rFonts w:cs="Times New Roman"/>
          <w:sz w:val="28"/>
          <w:szCs w:val="28"/>
        </w:rPr>
        <w:t>水资源匮乏，供需矛盾突出</w:t>
      </w:r>
      <w:r>
        <w:rPr>
          <w:rFonts w:hint="eastAsia" w:cs="Times New Roman"/>
          <w:sz w:val="28"/>
          <w:szCs w:val="28"/>
        </w:rPr>
        <w:t>的问题</w:t>
      </w:r>
      <w:bookmarkEnd w:id="20"/>
      <w:r>
        <w:rPr>
          <w:rFonts w:hint="eastAsia" w:cs="Times New Roman"/>
          <w:sz w:val="28"/>
          <w:szCs w:val="28"/>
        </w:rPr>
        <w:t>，在现状水利基础设施建设的基础上，通过如下方法解决：</w:t>
      </w:r>
    </w:p>
    <w:p w14:paraId="082AFB81">
      <w:pPr>
        <w:widowControl/>
        <w:adjustRightInd w:val="0"/>
        <w:ind w:firstLine="560" w:firstLineChars="200"/>
        <w:rPr>
          <w:rFonts w:cs="Times New Roman"/>
          <w:sz w:val="28"/>
          <w:szCs w:val="28"/>
        </w:rPr>
      </w:pPr>
      <w:r>
        <w:rPr>
          <w:rFonts w:hint="eastAsia" w:cs="Times New Roman"/>
          <w:sz w:val="28"/>
          <w:szCs w:val="28"/>
        </w:rPr>
        <w:t>①提高效率与减少浪费，加强管道维护，减少泄漏，修复老旧供水设施。安装节水型设备，鼓励企业和家庭采用节能技术；</w:t>
      </w:r>
    </w:p>
    <w:p w14:paraId="12EEAD38">
      <w:pPr>
        <w:widowControl/>
        <w:adjustRightInd w:val="0"/>
        <w:ind w:firstLine="560" w:firstLineChars="200"/>
        <w:rPr>
          <w:rFonts w:cs="Times New Roman"/>
          <w:sz w:val="28"/>
          <w:szCs w:val="28"/>
        </w:rPr>
      </w:pPr>
      <w:r>
        <w:rPr>
          <w:rFonts w:hint="eastAsia" w:cs="Times New Roman"/>
          <w:sz w:val="28"/>
          <w:szCs w:val="28"/>
        </w:rPr>
        <w:t>②建立城市雨水收集系统，将雨水用于工业、农业或公众服务，减少对自然水资源的依赖；推广废水处理技术，如膜分离和反渗透，回收可用水，减少新鲜水消耗；</w:t>
      </w:r>
    </w:p>
    <w:p w14:paraId="7898C8DC">
      <w:pPr>
        <w:widowControl/>
        <w:adjustRightInd w:val="0"/>
        <w:ind w:firstLine="560" w:firstLineChars="200"/>
        <w:rPr>
          <w:rFonts w:cs="Times New Roman"/>
          <w:sz w:val="28"/>
          <w:szCs w:val="28"/>
        </w:rPr>
      </w:pPr>
      <w:r>
        <w:rPr>
          <w:rFonts w:hint="eastAsia" w:cs="Times New Roman"/>
          <w:sz w:val="28"/>
          <w:szCs w:val="28"/>
        </w:rPr>
        <w:t>③政府、企业和社区通过宣传活动提高节约意识，鼓励工业采用节水设备和环保流程；通过监测和合理开采，利用地下水资源，但避免过度开采导致枯竭；</w:t>
      </w:r>
    </w:p>
    <w:p w14:paraId="0F4FCC9C">
      <w:pPr>
        <w:widowControl/>
        <w:adjustRightInd w:val="0"/>
        <w:ind w:firstLine="560" w:firstLineChars="200"/>
        <w:rPr>
          <w:rFonts w:cs="Times New Roman"/>
          <w:sz w:val="28"/>
          <w:szCs w:val="28"/>
        </w:rPr>
      </w:pPr>
      <w:r>
        <w:rPr>
          <w:rFonts w:hint="eastAsia" w:cs="Times New Roman"/>
          <w:sz w:val="28"/>
          <w:szCs w:val="28"/>
        </w:rPr>
        <w:t>④与国内外有先进技术的国家或地区合作，分享知识和经验，加速解决问题；</w:t>
      </w:r>
    </w:p>
    <w:p w14:paraId="6A01716F">
      <w:pPr>
        <w:widowControl/>
        <w:adjustRightInd w:val="0"/>
        <w:ind w:firstLine="560" w:firstLineChars="200"/>
        <w:rPr>
          <w:rFonts w:cs="Times New Roman"/>
          <w:sz w:val="28"/>
          <w:szCs w:val="28"/>
        </w:rPr>
      </w:pPr>
      <w:r>
        <w:rPr>
          <w:rFonts w:hint="eastAsia" w:cs="Times New Roman"/>
          <w:sz w:val="28"/>
          <w:szCs w:val="28"/>
        </w:rPr>
        <w:t>⑤政府制定相关法规，加大对违规浪费行为的处罚力度，同时鼓励节约用水并给予奖励。教育市民从小事做起，共同参与解决水资源问题。</w:t>
      </w:r>
    </w:p>
    <w:p w14:paraId="1E70A846">
      <w:pPr>
        <w:widowControl/>
        <w:adjustRightInd w:val="0"/>
        <w:ind w:firstLine="560" w:firstLineChars="200"/>
        <w:rPr>
          <w:rFonts w:cs="Times New Roman"/>
          <w:sz w:val="28"/>
          <w:szCs w:val="28"/>
        </w:rPr>
      </w:pPr>
      <w:r>
        <w:rPr>
          <w:rFonts w:hint="eastAsia" w:cs="Times New Roman"/>
          <w:sz w:val="28"/>
          <w:szCs w:val="28"/>
        </w:rPr>
        <w:t>拟通过以上措施，结合技术创新和政策支持，可以有效缓解九原区水资源紧张问题，实现可持续发展。</w:t>
      </w:r>
    </w:p>
    <w:p w14:paraId="1FFD3AAE">
      <w:pPr>
        <w:pStyle w:val="4"/>
        <w:widowControl/>
        <w:adjustRightInd w:val="0"/>
        <w:spacing w:before="0" w:after="0" w:line="360" w:lineRule="auto"/>
        <w:jc w:val="left"/>
        <w:rPr>
          <w:rFonts w:eastAsia="黑体" w:cs="Times New Roman"/>
          <w:b w:val="0"/>
          <w:bCs w:val="0"/>
          <w:kern w:val="0"/>
          <w:sz w:val="28"/>
          <w:szCs w:val="28"/>
        </w:rPr>
      </w:pPr>
      <w:bookmarkStart w:id="21" w:name="_Toc198652004"/>
      <w:r>
        <w:rPr>
          <w:rFonts w:eastAsia="黑体" w:cs="Times New Roman"/>
          <w:b w:val="0"/>
          <w:bCs w:val="0"/>
          <w:kern w:val="0"/>
          <w:sz w:val="28"/>
          <w:szCs w:val="28"/>
        </w:rPr>
        <w:t>1.</w:t>
      </w:r>
      <w:r>
        <w:rPr>
          <w:rFonts w:hint="eastAsia" w:eastAsia="黑体" w:cs="Times New Roman"/>
          <w:b w:val="0"/>
          <w:bCs w:val="0"/>
          <w:kern w:val="0"/>
          <w:sz w:val="28"/>
          <w:szCs w:val="28"/>
        </w:rPr>
        <w:t>3</w:t>
      </w:r>
      <w:r>
        <w:rPr>
          <w:rFonts w:eastAsia="黑体" w:cs="Times New Roman"/>
          <w:b w:val="0"/>
          <w:bCs w:val="0"/>
          <w:kern w:val="0"/>
          <w:sz w:val="28"/>
          <w:szCs w:val="28"/>
        </w:rPr>
        <w:t>.</w:t>
      </w:r>
      <w:r>
        <w:rPr>
          <w:rFonts w:hint="eastAsia" w:eastAsia="黑体" w:cs="Times New Roman"/>
          <w:b w:val="0"/>
          <w:bCs w:val="0"/>
          <w:kern w:val="0"/>
          <w:sz w:val="28"/>
          <w:szCs w:val="28"/>
        </w:rPr>
        <w:t>2供水保障</w:t>
      </w:r>
      <w:bookmarkEnd w:id="21"/>
    </w:p>
    <w:p w14:paraId="6CD2FF25">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存在问题</w:t>
      </w:r>
    </w:p>
    <w:p w14:paraId="181AE81A">
      <w:pPr>
        <w:widowControl/>
        <w:adjustRightInd w:val="0"/>
        <w:ind w:firstLine="560"/>
        <w:rPr>
          <w:rFonts w:cs="Times New Roman"/>
          <w:sz w:val="28"/>
          <w:szCs w:val="28"/>
        </w:rPr>
      </w:pPr>
      <w:r>
        <w:rPr>
          <w:rFonts w:hint="eastAsia" w:cs="Times New Roman"/>
          <w:sz w:val="28"/>
          <w:szCs w:val="28"/>
        </w:rPr>
        <w:t>①</w:t>
      </w:r>
      <w:r>
        <w:rPr>
          <w:rFonts w:cs="Times New Roman"/>
          <w:sz w:val="28"/>
          <w:szCs w:val="28"/>
        </w:rPr>
        <w:t>水资源配置体系不完善</w:t>
      </w:r>
      <w:r>
        <w:rPr>
          <w:rFonts w:hint="eastAsia" w:cs="Times New Roman"/>
          <w:sz w:val="28"/>
          <w:szCs w:val="28"/>
        </w:rPr>
        <w:t>。目前九原区集中供水主要是城镇自来水供水工程（主要供给城镇综合居民生活）和工业供水。九原区目前还没有建立起水权、水交易市场管理体制，水行政主管部门所属供水企业尚未将水资源作为稀缺资源和特殊商品来经营，各企业供水各自为阵，开采井无序布局，不利于地下水的统一有效管理和综合平衡，与节水型社会建设的要求极不协调。因此，组建水务投资公司，扩大集中供水的范围和职能，逐步实施综合生活、工业全方位的集中供水，是九原区水务管理需要加强的一个方面。</w:t>
      </w:r>
    </w:p>
    <w:p w14:paraId="2DBDA96F">
      <w:pPr>
        <w:widowControl/>
        <w:adjustRightInd w:val="0"/>
        <w:ind w:firstLine="560" w:firstLineChars="200"/>
        <w:rPr>
          <w:rFonts w:cs="Times New Roman"/>
          <w:sz w:val="28"/>
          <w:szCs w:val="28"/>
        </w:rPr>
      </w:pPr>
      <w:r>
        <w:rPr>
          <w:rFonts w:hint="eastAsia" w:cs="Times New Roman"/>
          <w:sz w:val="28"/>
          <w:szCs w:val="28"/>
        </w:rPr>
        <w:t>②地下水开采井布局不合理，局部地段地下水水位累计降升较大。本地区深层水为优质地下水，在过去几十年中，由于工、农业布局集中，导致开采井布局不合理，开采井布局集中，使深层水长期处于超采状态，导致城镇供水水源地地下水位持续下降。2017年以来，包头市政府采取了深层水压采措施，致使深层水水位有弱势回升，表明深层水超采的势头已遏制，补采接近平衡。</w:t>
      </w:r>
    </w:p>
    <w:p w14:paraId="294143F8">
      <w:pPr>
        <w:widowControl/>
        <w:adjustRightInd w:val="0"/>
        <w:ind w:firstLine="560" w:firstLineChars="200"/>
        <w:rPr>
          <w:rFonts w:cs="Times New Roman"/>
          <w:sz w:val="28"/>
          <w:szCs w:val="28"/>
        </w:rPr>
      </w:pPr>
      <w:r>
        <w:rPr>
          <w:rFonts w:hint="eastAsia" w:cs="Times New Roman"/>
          <w:sz w:val="28"/>
          <w:szCs w:val="28"/>
        </w:rPr>
        <w:t>③灌溉用水水平有待提高，井灌节水普及力度不够，井灌区节水灌溉发展较慢，井水利用率较低。目前节水灌溉面积为总面积50%左右。</w:t>
      </w:r>
    </w:p>
    <w:p w14:paraId="1E7AA399">
      <w:pPr>
        <w:widowControl/>
        <w:adjustRightInd w:val="0"/>
        <w:ind w:firstLine="560" w:firstLineChars="200"/>
        <w:rPr>
          <w:rFonts w:cs="Times New Roman"/>
          <w:sz w:val="28"/>
          <w:szCs w:val="28"/>
        </w:rPr>
      </w:pPr>
      <w:r>
        <w:rPr>
          <w:rFonts w:hint="eastAsia" w:cs="Times New Roman"/>
          <w:sz w:val="28"/>
          <w:szCs w:val="28"/>
        </w:rPr>
        <w:t>④地下水水位监测数据收集不够</w:t>
      </w:r>
    </w:p>
    <w:p w14:paraId="2AA53B71">
      <w:pPr>
        <w:widowControl/>
        <w:adjustRightInd w:val="0"/>
        <w:ind w:firstLine="560" w:firstLineChars="200"/>
        <w:rPr>
          <w:rFonts w:cs="Times New Roman"/>
          <w:sz w:val="28"/>
          <w:szCs w:val="28"/>
        </w:rPr>
      </w:pPr>
      <w:r>
        <w:rPr>
          <w:rFonts w:hint="eastAsia" w:cs="Times New Roman"/>
          <w:sz w:val="28"/>
          <w:szCs w:val="28"/>
        </w:rPr>
        <w:t>包头市地下水水位监测机构：包头水文水资源勘测局（隶属内蒙古自治区水利厅）、包头地质环境监测院（隶属内蒙古自然资源局）。二单位每年均编制年报，在过去的几十年来，九原区地下水水位监测资料收集不多。</w:t>
      </w:r>
    </w:p>
    <w:p w14:paraId="6D45FAB3">
      <w:pPr>
        <w:widowControl/>
        <w:adjustRightInd w:val="0"/>
        <w:ind w:firstLine="560" w:firstLineChars="200"/>
        <w:rPr>
          <w:rFonts w:cs="Times New Roman"/>
          <w:sz w:val="28"/>
          <w:szCs w:val="28"/>
        </w:rPr>
      </w:pPr>
      <w:r>
        <w:rPr>
          <w:rFonts w:hint="eastAsia" w:cs="Times New Roman"/>
          <w:sz w:val="28"/>
          <w:szCs w:val="28"/>
        </w:rPr>
        <w:t>⑤灌区盐渍化（三湖河灌区）</w:t>
      </w:r>
    </w:p>
    <w:p w14:paraId="342827D7">
      <w:pPr>
        <w:widowControl/>
        <w:adjustRightInd w:val="0"/>
        <w:ind w:firstLine="560" w:firstLineChars="200"/>
        <w:rPr>
          <w:rFonts w:cs="Times New Roman"/>
          <w:sz w:val="28"/>
          <w:szCs w:val="28"/>
        </w:rPr>
      </w:pPr>
      <w:r>
        <w:rPr>
          <w:rFonts w:hint="eastAsia" w:cs="Times New Roman"/>
          <w:sz w:val="28"/>
          <w:szCs w:val="28"/>
        </w:rPr>
        <w:t>九原区农田灌溉面积中地表水灌溉面积为10.8万亩，其中：微灌0.2万亩，低压管道灌溉为0.378万亩，渠道衬砌灌溉为6.42万亩，未衬砌渠道灌溉为3.802万亩。地下水灌溉面积为21.58万亩，其中：微灌5.82万亩，低压管道灌溉为6.6万亩，渠道衬砌灌溉为8.61万亩，未衬砌渠道灌溉为0.55万亩。</w:t>
      </w:r>
    </w:p>
    <w:p w14:paraId="7755011C">
      <w:pPr>
        <w:widowControl/>
        <w:adjustRightInd w:val="0"/>
        <w:ind w:firstLine="560" w:firstLineChars="200"/>
        <w:rPr>
          <w:rFonts w:cs="Times New Roman"/>
          <w:sz w:val="28"/>
          <w:szCs w:val="28"/>
        </w:rPr>
      </w:pPr>
      <w:r>
        <w:rPr>
          <w:rFonts w:hint="eastAsia" w:cs="Times New Roman"/>
          <w:sz w:val="28"/>
          <w:szCs w:val="28"/>
        </w:rPr>
        <w:t>灌溉面积中有盐碱地面积4.5万亩，占总耕地面积的11.53%。在盐碱面积中，轻度1.9万亩，占42.2%、中度1.35万亩，占30%、重度1.25万亩，占27.8%。盐碱化耕地严重制约优质农产品规模化、标准化、现代农业高质量发展。</w:t>
      </w:r>
    </w:p>
    <w:p w14:paraId="25E4CFC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解决方案</w:t>
      </w:r>
    </w:p>
    <w:p w14:paraId="01668B0A">
      <w:pPr>
        <w:widowControl/>
        <w:adjustRightInd w:val="0"/>
        <w:ind w:firstLine="560" w:firstLineChars="200"/>
        <w:rPr>
          <w:rFonts w:cs="Times New Roman"/>
          <w:sz w:val="28"/>
          <w:szCs w:val="28"/>
        </w:rPr>
      </w:pPr>
      <w:r>
        <w:rPr>
          <w:sz w:val="28"/>
          <w:szCs w:val="28"/>
        </w:rPr>
        <w:t>城市水资源配置体系不完善以及供水安全保障能力不足的问题，是当前许多城市面临的重要挑战。</w:t>
      </w:r>
      <w:r>
        <w:rPr>
          <w:rFonts w:hint="eastAsia"/>
          <w:sz w:val="28"/>
          <w:szCs w:val="28"/>
        </w:rPr>
        <w:t>九原区拟采取如下措施</w:t>
      </w:r>
      <w:r>
        <w:rPr>
          <w:sz w:val="28"/>
          <w:szCs w:val="28"/>
        </w:rPr>
        <w:t>：</w:t>
      </w:r>
    </w:p>
    <w:p w14:paraId="3B3B1AE5">
      <w:pPr>
        <w:widowControl/>
        <w:tabs>
          <w:tab w:val="left" w:pos="720"/>
          <w:tab w:val="left" w:pos="1440"/>
        </w:tabs>
        <w:adjustRightInd w:val="0"/>
        <w:ind w:firstLine="560" w:firstLineChars="200"/>
        <w:rPr>
          <w:rFonts w:cs="Times New Roman"/>
          <w:sz w:val="28"/>
          <w:szCs w:val="28"/>
        </w:rPr>
      </w:pPr>
      <w:r>
        <w:rPr>
          <w:rFonts w:hint="eastAsia" w:cs="Times New Roman"/>
          <w:sz w:val="28"/>
          <w:szCs w:val="28"/>
        </w:rPr>
        <w:t>①对九原区</w:t>
      </w:r>
      <w:r>
        <w:rPr>
          <w:rFonts w:cs="Times New Roman"/>
          <w:sz w:val="28"/>
          <w:szCs w:val="28"/>
        </w:rPr>
        <w:t>进行水资源现状调查</w:t>
      </w:r>
      <w:r>
        <w:rPr>
          <w:rFonts w:hint="eastAsia" w:cs="Times New Roman"/>
          <w:sz w:val="28"/>
          <w:szCs w:val="28"/>
        </w:rPr>
        <w:t>，</w:t>
      </w:r>
      <w:r>
        <w:rPr>
          <w:rFonts w:cs="Times New Roman"/>
          <w:sz w:val="28"/>
          <w:szCs w:val="28"/>
        </w:rPr>
        <w:t>对城市范围内的自然水资源（如河流、湖泊、地下水）以及人工供水设施进行全面调研，明确现有水资源储量、分布和利用现状</w:t>
      </w:r>
      <w:r>
        <w:rPr>
          <w:rFonts w:hint="eastAsia" w:cs="Times New Roman"/>
          <w:sz w:val="28"/>
          <w:szCs w:val="28"/>
        </w:rPr>
        <w:t>，</w:t>
      </w:r>
      <w:r>
        <w:rPr>
          <w:rFonts w:cs="Times New Roman"/>
          <w:sz w:val="28"/>
          <w:szCs w:val="28"/>
        </w:rPr>
        <w:t>结合人口增长、经济发展、土地用途变化等因素，对城市未来</w:t>
      </w:r>
      <w:r>
        <w:rPr>
          <w:rFonts w:hint="eastAsia" w:cs="Times New Roman"/>
          <w:sz w:val="28"/>
          <w:szCs w:val="28"/>
        </w:rPr>
        <w:t>10</w:t>
      </w:r>
      <w:r>
        <w:rPr>
          <w:rFonts w:cs="Times New Roman"/>
          <w:sz w:val="28"/>
          <w:szCs w:val="28"/>
        </w:rPr>
        <w:t>-</w:t>
      </w:r>
      <w:r>
        <w:rPr>
          <w:rFonts w:hint="eastAsia" w:cs="Times New Roman"/>
          <w:sz w:val="28"/>
          <w:szCs w:val="28"/>
        </w:rPr>
        <w:t>2</w:t>
      </w:r>
      <w:r>
        <w:rPr>
          <w:rFonts w:cs="Times New Roman"/>
          <w:sz w:val="28"/>
          <w:szCs w:val="28"/>
        </w:rPr>
        <w:t>0年的水资源需求进行科学评估</w:t>
      </w:r>
      <w:r>
        <w:rPr>
          <w:rFonts w:hint="eastAsia" w:cs="Times New Roman"/>
          <w:sz w:val="28"/>
          <w:szCs w:val="28"/>
        </w:rPr>
        <w:t>，</w:t>
      </w:r>
      <w:r>
        <w:rPr>
          <w:rFonts w:cs="Times New Roman"/>
          <w:sz w:val="28"/>
          <w:szCs w:val="28"/>
        </w:rPr>
        <w:t>根据调查结果，优化城市水资源配置体系，明确不同供水来源的承载能力和利用优先级</w:t>
      </w:r>
      <w:r>
        <w:rPr>
          <w:rFonts w:hint="eastAsia" w:cs="Times New Roman"/>
          <w:sz w:val="28"/>
          <w:szCs w:val="28"/>
        </w:rPr>
        <w:t>；</w:t>
      </w:r>
    </w:p>
    <w:p w14:paraId="46923E0B">
      <w:pPr>
        <w:widowControl/>
        <w:tabs>
          <w:tab w:val="left" w:pos="720"/>
          <w:tab w:val="left" w:pos="1440"/>
        </w:tabs>
        <w:adjustRightInd w:val="0"/>
        <w:ind w:firstLine="560" w:firstLineChars="200"/>
        <w:rPr>
          <w:rFonts w:cs="Times New Roman"/>
          <w:sz w:val="28"/>
          <w:szCs w:val="28"/>
        </w:rPr>
      </w:pPr>
      <w:r>
        <w:rPr>
          <w:rFonts w:hint="eastAsia" w:cs="Times New Roman"/>
          <w:sz w:val="28"/>
          <w:szCs w:val="28"/>
        </w:rPr>
        <w:t>②采取</w:t>
      </w:r>
      <w:r>
        <w:rPr>
          <w:rFonts w:cs="Times New Roman"/>
          <w:sz w:val="28"/>
          <w:szCs w:val="28"/>
        </w:rPr>
        <w:t>多源式</w:t>
      </w:r>
      <w:r>
        <w:rPr>
          <w:rFonts w:hint="eastAsia" w:cs="Times New Roman"/>
          <w:sz w:val="28"/>
          <w:szCs w:val="28"/>
        </w:rPr>
        <w:t>优化</w:t>
      </w:r>
      <w:r>
        <w:rPr>
          <w:rFonts w:cs="Times New Roman"/>
          <w:sz w:val="28"/>
          <w:szCs w:val="28"/>
        </w:rPr>
        <w:t>配置模式</w:t>
      </w:r>
      <w:r>
        <w:rPr>
          <w:rFonts w:hint="eastAsia" w:cs="Times New Roman"/>
          <w:sz w:val="28"/>
          <w:szCs w:val="28"/>
        </w:rPr>
        <w:t>，</w:t>
      </w:r>
      <w:r>
        <w:rPr>
          <w:rFonts w:cs="Times New Roman"/>
          <w:sz w:val="28"/>
          <w:szCs w:val="28"/>
        </w:rPr>
        <w:t>在城市建成区内建设雨水花园、绿地或屋顶雨水收集系统，将雨水用于绿化、公共服务用水等非传统领域。</w:t>
      </w:r>
      <w:r>
        <w:rPr>
          <w:rFonts w:hint="eastAsia" w:cs="Times New Roman"/>
          <w:sz w:val="28"/>
          <w:szCs w:val="28"/>
        </w:rPr>
        <w:t>对地下水</w:t>
      </w:r>
      <w:r>
        <w:rPr>
          <w:rFonts w:cs="Times New Roman"/>
          <w:sz w:val="28"/>
          <w:szCs w:val="28"/>
        </w:rPr>
        <w:t>通过合理开采和监管，科学利用地下水资源，同时避免过度开采导致水资源枯竭。推广废水处理技术（如膜分离、反渗透等），将处理后水返回生产或生活循环，减少新鲜水的依赖。加强城市供水管网维护和更新，减少泄漏和破损。建立智能化管理系统，实时监测水资源利用情况，及时调整供水方案</w:t>
      </w:r>
      <w:r>
        <w:rPr>
          <w:rFonts w:hint="eastAsia" w:cs="Times New Roman"/>
          <w:sz w:val="28"/>
          <w:szCs w:val="28"/>
        </w:rPr>
        <w:t>；</w:t>
      </w:r>
    </w:p>
    <w:p w14:paraId="667A5ADD">
      <w:pPr>
        <w:widowControl/>
        <w:tabs>
          <w:tab w:val="left" w:pos="720"/>
          <w:tab w:val="left" w:pos="1440"/>
        </w:tabs>
        <w:adjustRightInd w:val="0"/>
        <w:ind w:firstLine="560" w:firstLineChars="200"/>
        <w:rPr>
          <w:rFonts w:cs="Times New Roman"/>
          <w:sz w:val="28"/>
          <w:szCs w:val="28"/>
        </w:rPr>
      </w:pPr>
      <w:r>
        <w:rPr>
          <w:rFonts w:hint="eastAsia" w:cs="Times New Roman"/>
          <w:sz w:val="28"/>
          <w:szCs w:val="28"/>
        </w:rPr>
        <w:t>③</w:t>
      </w:r>
      <w:r>
        <w:rPr>
          <w:rFonts w:cs="Times New Roman"/>
          <w:sz w:val="28"/>
          <w:szCs w:val="28"/>
        </w:rPr>
        <w:t>加强灌溉管理与水资源保护：在农业区，推广精准灌溉技术和节水型灌溉方式，减少水资源浪费。加强生态保护，避免过度开发，确保自然水源流域的健康运行。建立应急管理体系：制定城市供水安全应急预案，分析可能的干旱或突发事件对水资源的影响。建立储备设施（如大型蓄水池、缓存水源）和机制，确保在紧急情况下仍能保障基本生活用水需求。</w:t>
      </w:r>
    </w:p>
    <w:p w14:paraId="7EFCC8FE">
      <w:pPr>
        <w:widowControl/>
        <w:adjustRightInd w:val="0"/>
        <w:ind w:firstLine="560" w:firstLineChars="200"/>
        <w:rPr>
          <w:rFonts w:cs="Times New Roman"/>
          <w:sz w:val="28"/>
          <w:szCs w:val="28"/>
        </w:rPr>
      </w:pPr>
      <w:r>
        <w:rPr>
          <w:rFonts w:hint="eastAsia" w:cs="Times New Roman"/>
          <w:sz w:val="28"/>
          <w:szCs w:val="28"/>
        </w:rPr>
        <w:t>九原区拟</w:t>
      </w:r>
      <w:r>
        <w:rPr>
          <w:rFonts w:cs="Times New Roman"/>
          <w:sz w:val="28"/>
          <w:szCs w:val="28"/>
        </w:rPr>
        <w:t>通过以上措施，可以逐步优化城市水资源配置体系，提高供水效率和安全性。在实际推进过程中，需要根据不同城市的具体情况进行调整和创新，同时加强多方合作，确保政策落实到位。</w:t>
      </w:r>
    </w:p>
    <w:p w14:paraId="2C166FEC">
      <w:pPr>
        <w:pStyle w:val="4"/>
        <w:widowControl/>
        <w:adjustRightInd w:val="0"/>
        <w:spacing w:before="0" w:after="0" w:line="360" w:lineRule="auto"/>
        <w:jc w:val="left"/>
        <w:rPr>
          <w:rFonts w:eastAsia="黑体" w:cs="Times New Roman"/>
          <w:b w:val="0"/>
          <w:bCs w:val="0"/>
          <w:kern w:val="0"/>
          <w:sz w:val="28"/>
          <w:szCs w:val="28"/>
        </w:rPr>
      </w:pPr>
      <w:bookmarkStart w:id="22" w:name="_Toc198652005"/>
      <w:bookmarkStart w:id="23" w:name="OLE_LINK14"/>
      <w:r>
        <w:rPr>
          <w:rFonts w:eastAsia="黑体" w:cs="Times New Roman"/>
          <w:b w:val="0"/>
          <w:bCs w:val="0"/>
          <w:kern w:val="0"/>
          <w:sz w:val="28"/>
          <w:szCs w:val="28"/>
        </w:rPr>
        <w:t>1.</w:t>
      </w:r>
      <w:r>
        <w:rPr>
          <w:rFonts w:hint="eastAsia" w:eastAsia="黑体" w:cs="Times New Roman"/>
          <w:b w:val="0"/>
          <w:bCs w:val="0"/>
          <w:kern w:val="0"/>
          <w:sz w:val="28"/>
          <w:szCs w:val="28"/>
        </w:rPr>
        <w:t>3</w:t>
      </w:r>
      <w:r>
        <w:rPr>
          <w:rFonts w:eastAsia="黑体" w:cs="Times New Roman"/>
          <w:b w:val="0"/>
          <w:bCs w:val="0"/>
          <w:kern w:val="0"/>
          <w:sz w:val="28"/>
          <w:szCs w:val="28"/>
        </w:rPr>
        <w:t>.</w:t>
      </w:r>
      <w:r>
        <w:rPr>
          <w:rFonts w:hint="eastAsia" w:eastAsia="黑体" w:cs="Times New Roman"/>
          <w:b w:val="0"/>
          <w:bCs w:val="0"/>
          <w:kern w:val="0"/>
          <w:sz w:val="28"/>
          <w:szCs w:val="28"/>
        </w:rPr>
        <w:t>3防洪减灾</w:t>
      </w:r>
      <w:bookmarkEnd w:id="22"/>
    </w:p>
    <w:bookmarkEnd w:id="23"/>
    <w:p w14:paraId="689B1BFC">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存在问题</w:t>
      </w:r>
    </w:p>
    <w:p w14:paraId="5148D073">
      <w:pPr>
        <w:pStyle w:val="29"/>
        <w:widowControl/>
        <w:numPr>
          <w:ilvl w:val="0"/>
          <w:numId w:val="1"/>
        </w:numPr>
        <w:adjustRightInd w:val="0"/>
        <w:ind w:firstLineChars="0"/>
        <w:rPr>
          <w:rFonts w:cs="Times New Roman"/>
          <w:sz w:val="28"/>
          <w:szCs w:val="28"/>
        </w:rPr>
      </w:pPr>
      <w:r>
        <w:rPr>
          <w:rFonts w:cs="Times New Roman"/>
          <w:sz w:val="28"/>
          <w:szCs w:val="28"/>
        </w:rPr>
        <w:t>黄河干流</w:t>
      </w:r>
      <w:r>
        <w:rPr>
          <w:rFonts w:hint="eastAsia" w:cs="Times New Roman"/>
          <w:sz w:val="28"/>
          <w:szCs w:val="28"/>
        </w:rPr>
        <w:t>堤防</w:t>
      </w:r>
      <w:r>
        <w:rPr>
          <w:rFonts w:cs="Times New Roman"/>
          <w:sz w:val="28"/>
          <w:szCs w:val="28"/>
        </w:rPr>
        <w:t>建设体系有待完善</w:t>
      </w:r>
    </w:p>
    <w:p w14:paraId="109681B4">
      <w:pPr>
        <w:widowControl/>
        <w:adjustRightInd w:val="0"/>
        <w:ind w:firstLine="560" w:firstLineChars="200"/>
        <w:rPr>
          <w:rFonts w:cs="Times New Roman"/>
          <w:sz w:val="28"/>
          <w:szCs w:val="28"/>
        </w:rPr>
      </w:pPr>
      <w:r>
        <w:rPr>
          <w:rFonts w:cs="Times New Roman"/>
          <w:sz w:val="28"/>
          <w:szCs w:val="28"/>
        </w:rPr>
        <w:t>结合《黄河流域防洪规划修编》成果，黄河包头段堤防全长162.66km，其中包神铁路至210国道黄河大桥堤防</w:t>
      </w:r>
      <w:r>
        <w:rPr>
          <w:rFonts w:hint="eastAsia" w:cs="Times New Roman"/>
          <w:sz w:val="28"/>
          <w:szCs w:val="28"/>
        </w:rPr>
        <w:t>（九原区）</w:t>
      </w:r>
      <w:r>
        <w:rPr>
          <w:rFonts w:cs="Times New Roman"/>
          <w:sz w:val="28"/>
          <w:szCs w:val="28"/>
        </w:rPr>
        <w:t>仍存在4km未达到国家堤防工程2级</w:t>
      </w:r>
      <w:r>
        <w:rPr>
          <w:rFonts w:hint="eastAsia" w:cs="Times New Roman"/>
          <w:sz w:val="28"/>
          <w:szCs w:val="28"/>
        </w:rPr>
        <w:t>堤防</w:t>
      </w:r>
      <w:r>
        <w:rPr>
          <w:rFonts w:cs="Times New Roman"/>
          <w:sz w:val="28"/>
          <w:szCs w:val="28"/>
        </w:rPr>
        <w:t>标准；黄河干流</w:t>
      </w:r>
      <w:r>
        <w:rPr>
          <w:rFonts w:hint="eastAsia" w:cs="Times New Roman"/>
          <w:sz w:val="28"/>
          <w:szCs w:val="28"/>
        </w:rPr>
        <w:t>堤防</w:t>
      </w:r>
      <w:r>
        <w:rPr>
          <w:rFonts w:cs="Times New Roman"/>
          <w:sz w:val="28"/>
          <w:szCs w:val="28"/>
        </w:rPr>
        <w:t>护坡仍有</w:t>
      </w:r>
      <w:r>
        <w:rPr>
          <w:rFonts w:hint="eastAsia" w:cs="Times New Roman"/>
          <w:sz w:val="28"/>
          <w:szCs w:val="28"/>
        </w:rPr>
        <w:t>部分</w:t>
      </w:r>
      <w:r>
        <w:rPr>
          <w:rFonts w:cs="Times New Roman"/>
          <w:sz w:val="28"/>
          <w:szCs w:val="28"/>
        </w:rPr>
        <w:t>尚未建成，迎水侧河岸填塘工程和背水侧护堤林带建设工程尚不完备；部分河段河水主流游荡不稳、流速较大，护堤险工成段坍塌、陷落时有发生，威胁了堤防安全。</w:t>
      </w:r>
    </w:p>
    <w:p w14:paraId="66894B41">
      <w:pPr>
        <w:pStyle w:val="29"/>
        <w:widowControl/>
        <w:numPr>
          <w:ilvl w:val="0"/>
          <w:numId w:val="1"/>
        </w:numPr>
        <w:adjustRightInd w:val="0"/>
        <w:ind w:firstLineChars="0"/>
        <w:rPr>
          <w:rFonts w:cs="Times New Roman"/>
          <w:sz w:val="28"/>
          <w:szCs w:val="28"/>
        </w:rPr>
      </w:pPr>
      <w:r>
        <w:rPr>
          <w:rFonts w:hint="eastAsia" w:cs="Times New Roman"/>
          <w:sz w:val="28"/>
          <w:szCs w:val="28"/>
        </w:rPr>
        <w:t>城镇</w:t>
      </w:r>
      <w:r>
        <w:rPr>
          <w:rFonts w:cs="Times New Roman"/>
          <w:sz w:val="28"/>
          <w:szCs w:val="28"/>
        </w:rPr>
        <w:t>、农村牧区中小河流治理及山洪沟治理体系仍不完整</w:t>
      </w:r>
    </w:p>
    <w:p w14:paraId="202A8E17">
      <w:pPr>
        <w:widowControl/>
        <w:adjustRightInd w:val="0"/>
        <w:ind w:firstLine="560" w:firstLineChars="200"/>
        <w:rPr>
          <w:rFonts w:cs="Times New Roman"/>
          <w:sz w:val="28"/>
          <w:szCs w:val="28"/>
        </w:rPr>
      </w:pPr>
      <w:r>
        <w:rPr>
          <w:rFonts w:hint="eastAsia" w:cs="Times New Roman"/>
          <w:sz w:val="28"/>
          <w:szCs w:val="28"/>
        </w:rPr>
        <w:t>现状九原区城镇防洪体系已基本成形，城区内洪水基本可以依靠防洪体系顺利下泄进入黄河，但仍有部分河段缺少防洪工程、导致防洪体系不完善，部分段落不达标，有河段未设防，防洪体系有缺口，已建工程防洪标准不满足规划要求，需要开展达标建设。九原区乡镇防洪涉及6乡镇，存在防洪工程不达标或无设防，部分河沟道需要设防。</w:t>
      </w:r>
    </w:p>
    <w:p w14:paraId="32C786DC">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解决方案</w:t>
      </w:r>
    </w:p>
    <w:p w14:paraId="2072AE39">
      <w:pPr>
        <w:widowControl/>
        <w:adjustRightInd w:val="0"/>
        <w:ind w:firstLine="560" w:firstLineChars="200"/>
        <w:rPr>
          <w:rFonts w:cs="Times New Roman"/>
          <w:sz w:val="28"/>
          <w:szCs w:val="28"/>
        </w:rPr>
      </w:pPr>
      <w:r>
        <w:rPr>
          <w:rFonts w:cs="Times New Roman"/>
          <w:sz w:val="28"/>
          <w:szCs w:val="28"/>
        </w:rPr>
        <w:t>城市防洪减灾是确保城市安全的重要措施，以下是一些具体的措施：</w:t>
      </w:r>
    </w:p>
    <w:p w14:paraId="73DC3C46">
      <w:pPr>
        <w:widowControl/>
        <w:adjustRightInd w:val="0"/>
        <w:ind w:firstLine="560" w:firstLineChars="200"/>
        <w:rPr>
          <w:rFonts w:cs="Times New Roman"/>
          <w:sz w:val="28"/>
          <w:szCs w:val="28"/>
        </w:rPr>
      </w:pPr>
      <w:r>
        <w:rPr>
          <w:rFonts w:hint="eastAsia" w:cs="Times New Roman"/>
          <w:sz w:val="28"/>
          <w:szCs w:val="28"/>
        </w:rPr>
        <w:t>①</w:t>
      </w:r>
      <w:r>
        <w:rPr>
          <w:rFonts w:cs="Times New Roman"/>
          <w:sz w:val="28"/>
          <w:szCs w:val="28"/>
        </w:rPr>
        <w:t>加强下水道维护</w:t>
      </w:r>
      <w:r>
        <w:rPr>
          <w:rFonts w:hint="eastAsia" w:cs="Times New Roman"/>
          <w:sz w:val="28"/>
          <w:szCs w:val="28"/>
        </w:rPr>
        <w:t>：</w:t>
      </w:r>
      <w:r>
        <w:rPr>
          <w:rFonts w:cs="Times New Roman"/>
          <w:sz w:val="28"/>
          <w:szCs w:val="28"/>
        </w:rPr>
        <w:t>定期检查并清理下水道，避免被垃圾或杂物堵塞</w:t>
      </w:r>
      <w:r>
        <w:rPr>
          <w:rFonts w:hint="eastAsia" w:cs="Times New Roman"/>
          <w:sz w:val="28"/>
          <w:szCs w:val="28"/>
        </w:rPr>
        <w:t>；</w:t>
      </w:r>
      <w:r>
        <w:rPr>
          <w:rFonts w:cs="Times New Roman"/>
          <w:sz w:val="28"/>
          <w:szCs w:val="28"/>
        </w:rPr>
        <w:t>联系城市管理部门报告发现的问题。</w:t>
      </w:r>
    </w:p>
    <w:p w14:paraId="6E6DAB82">
      <w:pPr>
        <w:widowControl/>
        <w:adjustRightInd w:val="0"/>
        <w:ind w:firstLine="560" w:firstLineChars="200"/>
        <w:rPr>
          <w:rFonts w:cs="Times New Roman"/>
          <w:sz w:val="28"/>
          <w:szCs w:val="28"/>
        </w:rPr>
      </w:pPr>
      <w:r>
        <w:rPr>
          <w:rFonts w:hint="eastAsia" w:cs="Times New Roman"/>
          <w:sz w:val="28"/>
          <w:szCs w:val="28"/>
        </w:rPr>
        <w:t>②</w:t>
      </w:r>
      <w:r>
        <w:rPr>
          <w:rFonts w:cs="Times New Roman"/>
          <w:sz w:val="28"/>
          <w:szCs w:val="28"/>
        </w:rPr>
        <w:t>建筑防洪安全</w:t>
      </w:r>
      <w:r>
        <w:rPr>
          <w:rFonts w:hint="eastAsia" w:cs="Times New Roman"/>
          <w:sz w:val="28"/>
          <w:szCs w:val="28"/>
        </w:rPr>
        <w:t>：</w:t>
      </w:r>
      <w:r>
        <w:rPr>
          <w:rFonts w:cs="Times New Roman"/>
          <w:sz w:val="28"/>
          <w:szCs w:val="28"/>
        </w:rPr>
        <w:t>检查房屋门窗是否漏水，加固可能存在泄漏的部分</w:t>
      </w:r>
      <w:r>
        <w:rPr>
          <w:rFonts w:hint="eastAsia" w:cs="Times New Roman"/>
          <w:sz w:val="28"/>
          <w:szCs w:val="28"/>
        </w:rPr>
        <w:t>；</w:t>
      </w:r>
      <w:r>
        <w:rPr>
          <w:rFonts w:cs="Times New Roman"/>
          <w:sz w:val="28"/>
          <w:szCs w:val="28"/>
        </w:rPr>
        <w:t>避免在低洼地带居住，尤其是在雨季期间。</w:t>
      </w:r>
    </w:p>
    <w:p w14:paraId="0FEAA454">
      <w:pPr>
        <w:widowControl/>
        <w:adjustRightInd w:val="0"/>
        <w:ind w:firstLine="560" w:firstLineChars="200"/>
        <w:rPr>
          <w:rFonts w:cs="Times New Roman"/>
          <w:sz w:val="28"/>
          <w:szCs w:val="28"/>
        </w:rPr>
      </w:pPr>
      <w:r>
        <w:rPr>
          <w:rFonts w:hint="eastAsia" w:cs="Times New Roman"/>
          <w:sz w:val="28"/>
          <w:szCs w:val="28"/>
        </w:rPr>
        <w:t>③</w:t>
      </w:r>
      <w:r>
        <w:rPr>
          <w:rFonts w:cs="Times New Roman"/>
          <w:sz w:val="28"/>
          <w:szCs w:val="28"/>
        </w:rPr>
        <w:t>社区参与</w:t>
      </w:r>
      <w:r>
        <w:rPr>
          <w:rFonts w:hint="eastAsia" w:cs="Times New Roman"/>
          <w:sz w:val="28"/>
          <w:szCs w:val="28"/>
        </w:rPr>
        <w:t>：</w:t>
      </w:r>
      <w:r>
        <w:rPr>
          <w:rFonts w:cs="Times New Roman"/>
          <w:sz w:val="28"/>
          <w:szCs w:val="28"/>
        </w:rPr>
        <w:t>组织志愿者清理公共下水道和排水沟渠</w:t>
      </w:r>
      <w:r>
        <w:rPr>
          <w:rFonts w:hint="eastAsia" w:cs="Times New Roman"/>
          <w:sz w:val="28"/>
          <w:szCs w:val="28"/>
        </w:rPr>
        <w:t>；</w:t>
      </w:r>
      <w:r>
        <w:rPr>
          <w:rFonts w:cs="Times New Roman"/>
          <w:sz w:val="28"/>
          <w:szCs w:val="28"/>
        </w:rPr>
        <w:t>在雨季期间设置监测点，及时发现问题并解决。</w:t>
      </w:r>
    </w:p>
    <w:p w14:paraId="77F457E1">
      <w:pPr>
        <w:widowControl/>
        <w:adjustRightInd w:val="0"/>
        <w:ind w:firstLine="560" w:firstLineChars="200"/>
        <w:rPr>
          <w:rFonts w:cs="Times New Roman"/>
          <w:sz w:val="28"/>
          <w:szCs w:val="28"/>
        </w:rPr>
      </w:pPr>
      <w:r>
        <w:rPr>
          <w:rFonts w:hint="eastAsia" w:cs="Times New Roman"/>
          <w:sz w:val="28"/>
          <w:szCs w:val="28"/>
        </w:rPr>
        <w:t>④</w:t>
      </w:r>
      <w:r>
        <w:rPr>
          <w:rFonts w:cs="Times New Roman"/>
          <w:sz w:val="28"/>
          <w:szCs w:val="28"/>
        </w:rPr>
        <w:t>防洪教育与宣传</w:t>
      </w:r>
      <w:r>
        <w:rPr>
          <w:rFonts w:hint="eastAsia" w:cs="Times New Roman"/>
          <w:sz w:val="28"/>
          <w:szCs w:val="28"/>
        </w:rPr>
        <w:t>：</w:t>
      </w:r>
      <w:r>
        <w:rPr>
          <w:rFonts w:cs="Times New Roman"/>
          <w:sz w:val="28"/>
          <w:szCs w:val="28"/>
        </w:rPr>
        <w:t>在学校、社区举办防洪减灾讲座或演示活动</w:t>
      </w:r>
      <w:r>
        <w:rPr>
          <w:rFonts w:hint="eastAsia" w:cs="Times New Roman"/>
          <w:sz w:val="28"/>
          <w:szCs w:val="28"/>
        </w:rPr>
        <w:t>；</w:t>
      </w:r>
      <w:r>
        <w:rPr>
          <w:rFonts w:cs="Times New Roman"/>
          <w:sz w:val="28"/>
          <w:szCs w:val="28"/>
        </w:rPr>
        <w:t>通过宣传材料提高市民对自然灾害风险的认识。学习基本的应对方法，包括撤离路线和避免危险区域。配置家庭应急箱，包含必要的物资和工具。</w:t>
      </w:r>
    </w:p>
    <w:p w14:paraId="0F697F92">
      <w:pPr>
        <w:widowControl/>
        <w:adjustRightInd w:val="0"/>
        <w:ind w:firstLine="560" w:firstLineChars="200"/>
        <w:rPr>
          <w:rFonts w:cs="Times New Roman"/>
          <w:sz w:val="28"/>
          <w:szCs w:val="28"/>
        </w:rPr>
      </w:pPr>
      <w:r>
        <w:rPr>
          <w:rFonts w:hint="eastAsia" w:cs="Times New Roman"/>
          <w:sz w:val="28"/>
          <w:szCs w:val="28"/>
        </w:rPr>
        <w:t>⑤</w:t>
      </w:r>
      <w:r>
        <w:rPr>
          <w:rFonts w:cs="Times New Roman"/>
          <w:sz w:val="28"/>
          <w:szCs w:val="28"/>
        </w:rPr>
        <w:t>城市基础设施建设</w:t>
      </w:r>
      <w:r>
        <w:rPr>
          <w:rFonts w:hint="eastAsia" w:cs="Times New Roman"/>
          <w:sz w:val="28"/>
          <w:szCs w:val="28"/>
        </w:rPr>
        <w:t>：</w:t>
      </w:r>
      <w:r>
        <w:rPr>
          <w:rFonts w:cs="Times New Roman"/>
          <w:sz w:val="28"/>
          <w:szCs w:val="28"/>
        </w:rPr>
        <w:t>设置防洪屏障和蓄水池，储存雨水，减少洪水泛滥风险</w:t>
      </w:r>
      <w:r>
        <w:rPr>
          <w:rFonts w:hint="eastAsia" w:cs="Times New Roman"/>
          <w:sz w:val="28"/>
          <w:szCs w:val="28"/>
        </w:rPr>
        <w:t>；</w:t>
      </w:r>
      <w:r>
        <w:rPr>
          <w:rFonts w:cs="Times New Roman"/>
          <w:sz w:val="28"/>
          <w:szCs w:val="28"/>
        </w:rPr>
        <w:t>加强排水系统的疏导能力，确保雨水能够及时流走。建立应急疏散通道，明确撤离路线。</w:t>
      </w:r>
    </w:p>
    <w:p w14:paraId="55A2B796">
      <w:pPr>
        <w:widowControl/>
        <w:tabs>
          <w:tab w:val="left" w:pos="720"/>
        </w:tabs>
        <w:adjustRightInd w:val="0"/>
        <w:ind w:firstLine="560" w:firstLineChars="200"/>
        <w:rPr>
          <w:rFonts w:cs="Times New Roman"/>
          <w:sz w:val="28"/>
          <w:szCs w:val="28"/>
        </w:rPr>
      </w:pPr>
      <w:r>
        <w:rPr>
          <w:rFonts w:hint="eastAsia" w:cs="Times New Roman"/>
          <w:sz w:val="28"/>
          <w:szCs w:val="28"/>
        </w:rPr>
        <w:t>⑥开展全区山洪沟多目标系统综合治理，针对九原区地形地质条件复杂、山洪灾害频发的现状，考虑山洪沟所在的地形、地质条件和植被情况，结合保护对象的规模、重要性和防护要求，按照“防、拦、排”的布设原则，以“保护村镇、守点固岸、防冲消能”为目标，通过实施加固或修建护岸、截洪沟、排洪渠、清淤疏浚等治理措施。规划实施山洪沟综合治理6条。</w:t>
      </w:r>
    </w:p>
    <w:p w14:paraId="5D4FBAF6">
      <w:pPr>
        <w:widowControl/>
        <w:adjustRightInd w:val="0"/>
        <w:ind w:firstLine="560" w:firstLineChars="200"/>
        <w:rPr>
          <w:rFonts w:cs="Times New Roman"/>
          <w:sz w:val="28"/>
          <w:szCs w:val="28"/>
        </w:rPr>
      </w:pPr>
      <w:r>
        <w:rPr>
          <w:rFonts w:cs="Times New Roman"/>
          <w:sz w:val="28"/>
          <w:szCs w:val="28"/>
        </w:rPr>
        <w:t>通过以上措施，可以有效减少城市因自然灾害带来的损失，保障市民的安全。每个人都应该积极参与，并在日常生活中注意防洪减灾的小事，从而为整体城市防洪能力</w:t>
      </w:r>
      <w:r>
        <w:rPr>
          <w:rFonts w:hint="eastAsia" w:cs="Times New Roman"/>
          <w:sz w:val="28"/>
          <w:szCs w:val="28"/>
          <w:lang w:eastAsia="zh-CN"/>
        </w:rPr>
        <w:t>作</w:t>
      </w:r>
      <w:r>
        <w:rPr>
          <w:rFonts w:cs="Times New Roman"/>
          <w:sz w:val="28"/>
          <w:szCs w:val="28"/>
        </w:rPr>
        <w:t>出贡献。</w:t>
      </w:r>
    </w:p>
    <w:p w14:paraId="18985DBB">
      <w:pPr>
        <w:pStyle w:val="4"/>
        <w:widowControl/>
        <w:adjustRightInd w:val="0"/>
        <w:spacing w:before="0" w:after="0" w:line="360" w:lineRule="auto"/>
        <w:jc w:val="left"/>
        <w:rPr>
          <w:rFonts w:eastAsia="黑体" w:cs="Times New Roman"/>
          <w:b w:val="0"/>
          <w:bCs w:val="0"/>
          <w:kern w:val="0"/>
          <w:sz w:val="28"/>
          <w:szCs w:val="28"/>
        </w:rPr>
      </w:pPr>
      <w:bookmarkStart w:id="24" w:name="_Toc198652006"/>
      <w:r>
        <w:rPr>
          <w:rFonts w:eastAsia="黑体" w:cs="Times New Roman"/>
          <w:b w:val="0"/>
          <w:bCs w:val="0"/>
          <w:kern w:val="0"/>
          <w:sz w:val="28"/>
          <w:szCs w:val="28"/>
        </w:rPr>
        <w:t>1.</w:t>
      </w:r>
      <w:r>
        <w:rPr>
          <w:rFonts w:hint="eastAsia" w:eastAsia="黑体" w:cs="Times New Roman"/>
          <w:b w:val="0"/>
          <w:bCs w:val="0"/>
          <w:kern w:val="0"/>
          <w:sz w:val="28"/>
          <w:szCs w:val="28"/>
        </w:rPr>
        <w:t>3</w:t>
      </w:r>
      <w:r>
        <w:rPr>
          <w:rFonts w:eastAsia="黑体" w:cs="Times New Roman"/>
          <w:b w:val="0"/>
          <w:bCs w:val="0"/>
          <w:kern w:val="0"/>
          <w:sz w:val="28"/>
          <w:szCs w:val="28"/>
        </w:rPr>
        <w:t>.</w:t>
      </w:r>
      <w:r>
        <w:rPr>
          <w:rFonts w:hint="eastAsia" w:eastAsia="黑体" w:cs="Times New Roman"/>
          <w:b w:val="0"/>
          <w:bCs w:val="0"/>
          <w:kern w:val="0"/>
          <w:sz w:val="28"/>
          <w:szCs w:val="28"/>
        </w:rPr>
        <w:t>4水生态环境</w:t>
      </w:r>
      <w:bookmarkEnd w:id="24"/>
    </w:p>
    <w:p w14:paraId="49F4B3D9">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存在问题</w:t>
      </w:r>
    </w:p>
    <w:p w14:paraId="68E26FE2">
      <w:pPr>
        <w:widowControl/>
        <w:adjustRightInd w:val="0"/>
        <w:ind w:firstLine="560"/>
        <w:rPr>
          <w:rFonts w:cs="Times New Roman"/>
          <w:b/>
          <w:bCs/>
          <w:sz w:val="28"/>
          <w:szCs w:val="28"/>
        </w:rPr>
      </w:pPr>
      <w:bookmarkStart w:id="25" w:name="_Hlk197440585"/>
      <w:r>
        <w:rPr>
          <w:rFonts w:hint="eastAsia" w:cs="Times New Roman"/>
          <w:b/>
          <w:bCs/>
          <w:sz w:val="28"/>
          <w:szCs w:val="28"/>
        </w:rPr>
        <w:t>①地表水与地下水</w:t>
      </w:r>
    </w:p>
    <w:bookmarkEnd w:id="25"/>
    <w:p w14:paraId="521AD163">
      <w:pPr>
        <w:widowControl/>
        <w:adjustRightInd w:val="0"/>
        <w:ind w:firstLine="560" w:firstLineChars="200"/>
        <w:rPr>
          <w:rFonts w:cs="Times New Roman"/>
          <w:sz w:val="28"/>
          <w:szCs w:val="28"/>
        </w:rPr>
      </w:pPr>
      <w:r>
        <w:rPr>
          <w:rFonts w:hint="eastAsia" w:cs="Times New Roman"/>
          <w:sz w:val="28"/>
          <w:szCs w:val="28"/>
        </w:rPr>
        <w:t>九原区处于大青山、乌拉山山前，黄河北岸。地下水主要存于第四系松散岩层中，地下水类型为孔隙潜水。主要受大气降水、灌溉水及山前洪水入渗补给，排泄为蒸发、地下径流及人工开采。地下径流主要由山前向南排入黄河。包头市为重工业城市，地下水部分地段已被工业废水污染、水质恶化，只有北郊未受污染，且径流通畅，水质</w:t>
      </w:r>
      <w:r>
        <w:rPr>
          <w:rFonts w:cs="Times New Roman"/>
          <w:sz w:val="28"/>
          <w:szCs w:val="28"/>
        </w:rPr>
        <w:t>尚好。山前冲洪积倾斜平原区地下水位埋深大于8.0m，中部及南部冲湖积平原区地下水位埋深2.0～4.80m，黄河左岸边冲积阶地水位埋深1.90m左右。地下水化学类型主要为HCO</w:t>
      </w:r>
      <w:r>
        <w:rPr>
          <w:rFonts w:cs="Times New Roman"/>
          <w:sz w:val="28"/>
          <w:szCs w:val="28"/>
          <w:vertAlign w:val="subscript"/>
        </w:rPr>
        <w:t>3</w:t>
      </w:r>
      <w:r>
        <w:rPr>
          <w:rFonts w:cs="Times New Roman"/>
          <w:sz w:val="28"/>
          <w:szCs w:val="28"/>
        </w:rPr>
        <w:t>·SO</w:t>
      </w:r>
      <w:r>
        <w:rPr>
          <w:rFonts w:cs="Times New Roman"/>
          <w:sz w:val="28"/>
          <w:szCs w:val="28"/>
          <w:vertAlign w:val="subscript"/>
        </w:rPr>
        <w:t>4</w:t>
      </w:r>
      <w:r>
        <w:rPr>
          <w:rFonts w:hint="eastAsia" w:cs="Times New Roman"/>
          <w:sz w:val="28"/>
          <w:szCs w:val="28"/>
        </w:rPr>
        <w:t>-</w:t>
      </w:r>
      <w:r>
        <w:rPr>
          <w:rFonts w:cs="Times New Roman"/>
          <w:sz w:val="28"/>
          <w:szCs w:val="28"/>
        </w:rPr>
        <w:t>Na型，SO</w:t>
      </w:r>
      <w:r>
        <w:rPr>
          <w:rFonts w:cs="Times New Roman"/>
          <w:sz w:val="28"/>
          <w:szCs w:val="28"/>
          <w:vertAlign w:val="subscript"/>
        </w:rPr>
        <w:t>4</w:t>
      </w:r>
      <w:r>
        <w:rPr>
          <w:rFonts w:cs="Times New Roman"/>
          <w:sz w:val="28"/>
          <w:szCs w:val="28"/>
        </w:rPr>
        <w:t>·HCO</w:t>
      </w:r>
      <w:r>
        <w:rPr>
          <w:rFonts w:cs="Times New Roman"/>
          <w:sz w:val="28"/>
          <w:szCs w:val="28"/>
          <w:vertAlign w:val="subscript"/>
        </w:rPr>
        <w:t>3</w:t>
      </w:r>
      <w:r>
        <w:rPr>
          <w:rFonts w:hint="eastAsia" w:cs="Times New Roman"/>
          <w:sz w:val="28"/>
          <w:szCs w:val="28"/>
        </w:rPr>
        <w:t>-</w:t>
      </w:r>
      <w:r>
        <w:rPr>
          <w:rFonts w:cs="Times New Roman"/>
          <w:sz w:val="28"/>
          <w:szCs w:val="28"/>
        </w:rPr>
        <w:t>Mg·Ca型及SO</w:t>
      </w:r>
      <w:r>
        <w:rPr>
          <w:rFonts w:cs="Times New Roman"/>
          <w:sz w:val="28"/>
          <w:szCs w:val="28"/>
          <w:vertAlign w:val="subscript"/>
        </w:rPr>
        <w:t>4</w:t>
      </w:r>
      <w:r>
        <w:rPr>
          <w:rFonts w:cs="Times New Roman"/>
          <w:sz w:val="28"/>
          <w:szCs w:val="28"/>
        </w:rPr>
        <w:t>·Cl</w:t>
      </w:r>
      <w:r>
        <w:rPr>
          <w:rFonts w:hint="eastAsia" w:cs="Times New Roman"/>
          <w:sz w:val="28"/>
          <w:szCs w:val="28"/>
        </w:rPr>
        <w:t>-</w:t>
      </w:r>
      <w:r>
        <w:rPr>
          <w:rFonts w:cs="Times New Roman"/>
          <w:sz w:val="28"/>
          <w:szCs w:val="28"/>
        </w:rPr>
        <w:t>Na·Ca型，矿化度在0.35～1.22g/L，下游两座建筑物矿化度偏高。PH值为7.60～8.30属弱碱性水。</w:t>
      </w:r>
    </w:p>
    <w:p w14:paraId="0FDAB26C">
      <w:pPr>
        <w:widowControl/>
        <w:adjustRightInd w:val="0"/>
        <w:ind w:firstLine="560"/>
        <w:rPr>
          <w:rFonts w:cs="Times New Roman"/>
          <w:b/>
          <w:bCs/>
          <w:sz w:val="28"/>
          <w:szCs w:val="28"/>
        </w:rPr>
      </w:pPr>
      <w:r>
        <w:rPr>
          <w:rFonts w:hint="eastAsia" w:cs="Times New Roman"/>
          <w:b/>
          <w:bCs/>
          <w:sz w:val="28"/>
          <w:szCs w:val="28"/>
        </w:rPr>
        <w:t>②水土保持</w:t>
      </w:r>
    </w:p>
    <w:p w14:paraId="7F66A0A2">
      <w:pPr>
        <w:widowControl/>
        <w:adjustRightInd w:val="0"/>
        <w:ind w:firstLine="560" w:firstLineChars="200"/>
        <w:rPr>
          <w:rFonts w:cs="Times New Roman"/>
          <w:sz w:val="28"/>
          <w:szCs w:val="28"/>
        </w:rPr>
      </w:pPr>
      <w:r>
        <w:rPr>
          <w:rFonts w:hint="eastAsia" w:cs="Times New Roman"/>
          <w:sz w:val="28"/>
          <w:szCs w:val="28"/>
        </w:rPr>
        <w:t>九原区为黄河自治区级水土流失重点治理区，水土流失类型以轻度水蚀和中度风蚀为主，水蚀主要分布于阴山沿麓山地丘陵区及倾斜平原区，风蚀主要分布于覆沙平原区，本区大青山沿线水土流失严重，暴雨集中，山洪时有发生，拦蓄排水工程薄弱，水资源利用效率低，供需矛盾突出。由于多年森林抚育失调、加之矿产资源开采频繁，区内植被破坏、表土流失、地下水位下降，直接减弱了生态系统的涵养水源、调蓄径流、净化水质等功能，水土流失面积和强度呈增加趋势。</w:t>
      </w:r>
    </w:p>
    <w:p w14:paraId="29208047">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解决方案</w:t>
      </w:r>
    </w:p>
    <w:p w14:paraId="5B8F0EA4">
      <w:pPr>
        <w:widowControl/>
        <w:adjustRightInd w:val="0"/>
        <w:ind w:firstLine="560"/>
        <w:rPr>
          <w:rFonts w:cs="Times New Roman"/>
          <w:b/>
          <w:bCs/>
          <w:sz w:val="28"/>
          <w:szCs w:val="28"/>
        </w:rPr>
      </w:pPr>
      <w:r>
        <w:rPr>
          <w:rFonts w:hint="eastAsia" w:cs="Times New Roman"/>
          <w:b/>
          <w:bCs/>
          <w:sz w:val="28"/>
          <w:szCs w:val="28"/>
        </w:rPr>
        <w:t>①地表水与地下水</w:t>
      </w:r>
    </w:p>
    <w:p w14:paraId="3C6BF8ED">
      <w:pPr>
        <w:widowControl/>
        <w:adjustRightInd w:val="0"/>
        <w:ind w:firstLine="560" w:firstLineChars="200"/>
        <w:rPr>
          <w:rFonts w:cs="Times New Roman"/>
          <w:sz w:val="28"/>
          <w:szCs w:val="28"/>
        </w:rPr>
      </w:pPr>
      <w:r>
        <w:rPr>
          <w:rFonts w:hint="eastAsia" w:cs="Times New Roman"/>
          <w:sz w:val="28"/>
          <w:szCs w:val="28"/>
        </w:rPr>
        <w:t>根据城镇规划区地表水、地下水水环境污染现状及其成因，对城镇规划区污染源提出如下控制准则：以点源治理为基础，集中处理相配套，总量控制与浓度并举；总量控制，根据实际情况制定城镇规划区废水污染物控制的目标总量；浓度控制，在对工业废水污染源治理实施限期达标排放的同时，推行和实施排污许可证，逐步实现对污染企业的总量控制与浓度控制相结合的管理方式；对污水排放量比较大的企业采取达标治理与再生回用相结合的原则。</w:t>
      </w:r>
    </w:p>
    <w:p w14:paraId="4BDF1A82">
      <w:pPr>
        <w:widowControl/>
        <w:adjustRightInd w:val="0"/>
        <w:ind w:firstLine="560"/>
        <w:rPr>
          <w:rFonts w:cs="Times New Roman"/>
          <w:b/>
          <w:bCs/>
          <w:sz w:val="28"/>
          <w:szCs w:val="28"/>
        </w:rPr>
      </w:pPr>
      <w:r>
        <w:rPr>
          <w:rFonts w:hint="eastAsia" w:cs="Times New Roman"/>
          <w:b/>
          <w:bCs/>
          <w:sz w:val="28"/>
          <w:szCs w:val="28"/>
        </w:rPr>
        <w:t>②水土保持</w:t>
      </w:r>
    </w:p>
    <w:p w14:paraId="7C84F36A">
      <w:pPr>
        <w:widowControl/>
        <w:adjustRightInd w:val="0"/>
        <w:ind w:firstLine="560" w:firstLineChars="200"/>
        <w:rPr>
          <w:rFonts w:cs="Times New Roman"/>
          <w:sz w:val="28"/>
          <w:szCs w:val="28"/>
        </w:rPr>
      </w:pPr>
      <w:r>
        <w:rPr>
          <w:rFonts w:hint="eastAsia" w:cs="Times New Roman"/>
          <w:sz w:val="28"/>
          <w:szCs w:val="28"/>
        </w:rPr>
        <w:t>结合九原区水土流失特点，本区水土保持主导功能为水源涵养和生态维护，社会经济功能有河湖源区保护、水源地保护、生物多样性保护、城镇工矿企业防护等。水土保持的重点是强化生态系统修复，增强水源涵养、调蓄径流功能，保护水源地，强化开发建设活动监管，减少人为水土流失，促进区域社会经济可持续发展。</w:t>
      </w:r>
    </w:p>
    <w:p w14:paraId="10C63978">
      <w:pPr>
        <w:pStyle w:val="4"/>
        <w:widowControl/>
        <w:adjustRightInd w:val="0"/>
        <w:spacing w:before="0" w:after="0" w:line="360" w:lineRule="auto"/>
        <w:jc w:val="left"/>
        <w:rPr>
          <w:rFonts w:eastAsia="黑体" w:cs="Times New Roman"/>
          <w:b w:val="0"/>
          <w:bCs w:val="0"/>
          <w:kern w:val="0"/>
          <w:sz w:val="28"/>
          <w:szCs w:val="28"/>
        </w:rPr>
      </w:pPr>
      <w:bookmarkStart w:id="26" w:name="_Toc198652007"/>
      <w:r>
        <w:rPr>
          <w:rFonts w:eastAsia="黑体" w:cs="Times New Roman"/>
          <w:b w:val="0"/>
          <w:bCs w:val="0"/>
          <w:kern w:val="0"/>
          <w:sz w:val="28"/>
          <w:szCs w:val="28"/>
        </w:rPr>
        <w:t>1.</w:t>
      </w:r>
      <w:r>
        <w:rPr>
          <w:rFonts w:hint="eastAsia" w:eastAsia="黑体" w:cs="Times New Roman"/>
          <w:b w:val="0"/>
          <w:bCs w:val="0"/>
          <w:kern w:val="0"/>
          <w:sz w:val="28"/>
          <w:szCs w:val="28"/>
        </w:rPr>
        <w:t>3</w:t>
      </w:r>
      <w:r>
        <w:rPr>
          <w:rFonts w:eastAsia="黑体" w:cs="Times New Roman"/>
          <w:b w:val="0"/>
          <w:bCs w:val="0"/>
          <w:kern w:val="0"/>
          <w:sz w:val="28"/>
          <w:szCs w:val="28"/>
        </w:rPr>
        <w:t>.</w:t>
      </w:r>
      <w:r>
        <w:rPr>
          <w:rFonts w:hint="eastAsia" w:eastAsia="黑体" w:cs="Times New Roman"/>
          <w:b w:val="0"/>
          <w:bCs w:val="0"/>
          <w:kern w:val="0"/>
          <w:sz w:val="28"/>
          <w:szCs w:val="28"/>
        </w:rPr>
        <w:t>5管理体制</w:t>
      </w:r>
      <w:bookmarkEnd w:id="26"/>
    </w:p>
    <w:p w14:paraId="545C8C41">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存在问题</w:t>
      </w:r>
    </w:p>
    <w:p w14:paraId="5832A4AB">
      <w:pPr>
        <w:widowControl/>
        <w:adjustRightInd w:val="0"/>
        <w:ind w:firstLine="560"/>
        <w:rPr>
          <w:rFonts w:cs="Times New Roman"/>
          <w:sz w:val="28"/>
          <w:szCs w:val="28"/>
        </w:rPr>
      </w:pPr>
      <w:r>
        <w:rPr>
          <w:rFonts w:hint="eastAsia" w:cs="Times New Roman"/>
          <w:sz w:val="28"/>
          <w:szCs w:val="28"/>
        </w:rPr>
        <w:t>①</w:t>
      </w:r>
      <w:r>
        <w:rPr>
          <w:rFonts w:cs="Times New Roman"/>
          <w:sz w:val="28"/>
          <w:szCs w:val="28"/>
        </w:rPr>
        <w:t>水网法治管理保障力度有待加强</w:t>
      </w:r>
    </w:p>
    <w:p w14:paraId="7AECC05F">
      <w:pPr>
        <w:widowControl/>
        <w:adjustRightInd w:val="0"/>
        <w:ind w:firstLine="560" w:firstLineChars="200"/>
        <w:rPr>
          <w:rFonts w:cs="Times New Roman"/>
          <w:sz w:val="28"/>
          <w:szCs w:val="28"/>
        </w:rPr>
      </w:pPr>
      <w:r>
        <w:rPr>
          <w:rFonts w:cs="Times New Roman"/>
          <w:sz w:val="28"/>
          <w:szCs w:val="28"/>
        </w:rPr>
        <w:t>初始水权分配、水资源监管、全社会节水等制度落实情况需要进一步强化河湖长制、流域治理、水权改革、投融资机制等尚不完善，生态保护红线、水环境生态补偿、节约用水、水行政执法等法治基础仍需进一步夯实。水利工程质量管理、“四项制度”、全环节监管机制等需进一步完善健全，主管部门和项目法人的事权关系未完全理顺，建设管理专业化、集约化程度不高，监理单位职责和工程程序需进一步明晰，水利建设市场准入管理体系不健全等。水利工程注册登记安全鉴定、除险加固等制度不完善，工程运管长效机制尚未完全建立，重建设、轻运维的现象普遍存在等，水利工程管护模式有待创新，工程安全运行监测系统不健全，水网系统建设与运行机制不健全</w:t>
      </w:r>
      <w:r>
        <w:rPr>
          <w:rFonts w:hint="eastAsia" w:cs="Times New Roman"/>
          <w:sz w:val="28"/>
          <w:szCs w:val="28"/>
        </w:rPr>
        <w:t>。</w:t>
      </w:r>
    </w:p>
    <w:p w14:paraId="7802575C">
      <w:pPr>
        <w:widowControl/>
        <w:adjustRightInd w:val="0"/>
        <w:ind w:firstLine="560" w:firstLineChars="200"/>
        <w:rPr>
          <w:rFonts w:cs="Times New Roman"/>
          <w:sz w:val="28"/>
          <w:szCs w:val="28"/>
        </w:rPr>
      </w:pPr>
      <w:r>
        <w:rPr>
          <w:rFonts w:hint="eastAsia" w:cs="Times New Roman"/>
          <w:sz w:val="28"/>
          <w:szCs w:val="28"/>
        </w:rPr>
        <w:t>②</w:t>
      </w:r>
      <w:r>
        <w:rPr>
          <w:rFonts w:cs="Times New Roman"/>
          <w:sz w:val="28"/>
          <w:szCs w:val="28"/>
        </w:rPr>
        <w:t>数字孪生水网建设处于起步阶段，智能化水平不高</w:t>
      </w:r>
    </w:p>
    <w:p w14:paraId="483AFFE8">
      <w:pPr>
        <w:widowControl/>
        <w:adjustRightInd w:val="0"/>
        <w:ind w:firstLine="560" w:firstLineChars="200"/>
        <w:rPr>
          <w:rFonts w:cs="Times New Roman"/>
          <w:sz w:val="28"/>
          <w:szCs w:val="28"/>
        </w:rPr>
      </w:pPr>
      <w:r>
        <w:rPr>
          <w:rFonts w:hint="eastAsia" w:cs="Times New Roman"/>
          <w:sz w:val="28"/>
          <w:szCs w:val="28"/>
        </w:rPr>
        <w:t>九原区</w:t>
      </w:r>
      <w:r>
        <w:rPr>
          <w:rFonts w:cs="Times New Roman"/>
          <w:sz w:val="28"/>
          <w:szCs w:val="28"/>
        </w:rPr>
        <w:t>用水量监测率及农业灌溉用水计量率有待提高，土壤墒情、河道水情、水利工程等监测点密度偏低，监测能力不足且感知体系不健全，无法支撑水利业务需求。</w:t>
      </w:r>
      <w:r>
        <w:rPr>
          <w:rFonts w:hint="eastAsia" w:cs="Times New Roman"/>
          <w:sz w:val="28"/>
          <w:szCs w:val="28"/>
        </w:rPr>
        <w:t>包头市</w:t>
      </w:r>
      <w:r>
        <w:rPr>
          <w:rFonts w:cs="Times New Roman"/>
          <w:sz w:val="28"/>
          <w:szCs w:val="28"/>
        </w:rPr>
        <w:t>目前仅开展了昆都仑河先试项目的前期工作，数据资源体系尚不完备，信息孤岛现象严重。水利数据关联分析和可视化水平较低，水利专业模型、智能识别模型、可视化模型和模拟仿真引擎等建设尚属空白。部分业务系统建设年代久远，已不能满足当前的业务管理需求，水资源调配、防洪排涝、水生态等业务应用距离实现“四预”功能差距较大</w:t>
      </w:r>
      <w:r>
        <w:rPr>
          <w:rFonts w:hint="eastAsia" w:cs="Times New Roman"/>
          <w:sz w:val="28"/>
          <w:szCs w:val="28"/>
        </w:rPr>
        <w:t>。</w:t>
      </w:r>
      <w:r>
        <w:rPr>
          <w:rFonts w:cs="Times New Roman"/>
          <w:sz w:val="28"/>
          <w:szCs w:val="28"/>
        </w:rPr>
        <w:t>网络安全等级保护建设仍有欠缺，适应智慧水利建设的综合保障体系仍不完善，新一代信息技术人才储备不足。</w:t>
      </w:r>
    </w:p>
    <w:p w14:paraId="12D2271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解决方案</w:t>
      </w:r>
    </w:p>
    <w:p w14:paraId="7C9F2CA7">
      <w:pPr>
        <w:widowControl/>
        <w:adjustRightInd w:val="0"/>
        <w:ind w:firstLine="560" w:firstLineChars="200"/>
        <w:rPr>
          <w:rFonts w:cs="Times New Roman"/>
          <w:sz w:val="28"/>
          <w:szCs w:val="28"/>
        </w:rPr>
      </w:pPr>
      <w:r>
        <w:rPr>
          <w:rFonts w:hint="eastAsia" w:cs="Times New Roman"/>
          <w:sz w:val="28"/>
          <w:szCs w:val="28"/>
        </w:rPr>
        <w:t>①</w:t>
      </w:r>
      <w:r>
        <w:rPr>
          <w:rFonts w:cs="Times New Roman"/>
          <w:sz w:val="28"/>
          <w:szCs w:val="28"/>
        </w:rPr>
        <w:t>建立水资源权属清晰的制度，规范水资源使用和开发。加强巡查和整治，打击违法用水行为。通过生态友好型管理，保护水资源环境。推动节约型社会建设，实现人与自然的协调发展。</w:t>
      </w:r>
    </w:p>
    <w:p w14:paraId="46D9AC8E">
      <w:pPr>
        <w:widowControl/>
        <w:adjustRightInd w:val="0"/>
        <w:ind w:firstLine="560" w:firstLineChars="200"/>
        <w:rPr>
          <w:rFonts w:cs="Times New Roman"/>
          <w:sz w:val="28"/>
          <w:szCs w:val="28"/>
        </w:rPr>
      </w:pPr>
      <w:r>
        <w:rPr>
          <w:rFonts w:hint="eastAsia" w:cs="Times New Roman"/>
          <w:sz w:val="28"/>
          <w:szCs w:val="28"/>
        </w:rPr>
        <w:t>②</w:t>
      </w:r>
      <w:r>
        <w:rPr>
          <w:rFonts w:cs="Times New Roman"/>
          <w:sz w:val="28"/>
          <w:szCs w:val="28"/>
        </w:rPr>
        <w:t>政策支持与资金投入</w:t>
      </w:r>
      <w:r>
        <w:rPr>
          <w:rFonts w:hint="eastAsia" w:cs="Times New Roman"/>
          <w:sz w:val="28"/>
          <w:szCs w:val="28"/>
        </w:rPr>
        <w:t>：</w:t>
      </w:r>
      <w:r>
        <w:rPr>
          <w:rFonts w:cs="Times New Roman"/>
          <w:sz w:val="28"/>
          <w:szCs w:val="28"/>
        </w:rPr>
        <w:t>政府出台相关政策，鼓励数字化转型。加大对水利信息化建设的资金投入。推动水网信息化技术研发，提升核心技术水平。加强高校、科研院所和企业之间的合作，共同推进数字孪生技术应用。</w:t>
      </w:r>
    </w:p>
    <w:p w14:paraId="4377DA67">
      <w:pPr>
        <w:widowControl/>
        <w:tabs>
          <w:tab w:val="left" w:pos="1440"/>
        </w:tabs>
        <w:adjustRightInd w:val="0"/>
        <w:ind w:firstLine="560" w:firstLineChars="200"/>
        <w:rPr>
          <w:rFonts w:cs="Times New Roman"/>
          <w:sz w:val="28"/>
          <w:szCs w:val="28"/>
        </w:rPr>
      </w:pPr>
      <w:r>
        <w:rPr>
          <w:rFonts w:hint="eastAsia" w:cs="Times New Roman"/>
          <w:sz w:val="28"/>
          <w:szCs w:val="28"/>
        </w:rPr>
        <w:t>③</w:t>
      </w:r>
      <w:r>
        <w:rPr>
          <w:rFonts w:cs="Times New Roman"/>
          <w:sz w:val="28"/>
          <w:szCs w:val="28"/>
        </w:rPr>
        <w:t>建立标准化的数据采集规范，确保数据质量。开发高效的数据处理算法，支持实时分析和决策。重点水网区域开展数字孪生建设试点，积累经验。通过成功案例推广至其他地区，形成示范效应。开展专业技能培训，提升管理和技术人员的能力。培养一批具备数字孪生技术应用能力的复合型人才。</w:t>
      </w:r>
    </w:p>
    <w:p w14:paraId="6205DF78">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7" w:name="_Toc198652008"/>
      <w:r>
        <w:rPr>
          <w:rFonts w:ascii="Times New Roman" w:hAnsi="Times New Roman" w:eastAsia="黑体" w:cs="Times New Roman"/>
          <w:b w:val="0"/>
          <w:bCs w:val="0"/>
          <w:kern w:val="0"/>
          <w:sz w:val="28"/>
          <w:szCs w:val="28"/>
        </w:rPr>
        <w:t>1.4</w:t>
      </w:r>
      <w:bookmarkStart w:id="28" w:name="OLE_LINK3"/>
      <w:r>
        <w:rPr>
          <w:rFonts w:ascii="Times New Roman" w:hAnsi="Times New Roman" w:eastAsia="黑体" w:cs="Times New Roman"/>
          <w:b w:val="0"/>
          <w:bCs w:val="0"/>
          <w:kern w:val="0"/>
          <w:sz w:val="28"/>
          <w:szCs w:val="28"/>
        </w:rPr>
        <w:t>面临形势</w:t>
      </w:r>
      <w:bookmarkEnd w:id="27"/>
      <w:bookmarkEnd w:id="28"/>
    </w:p>
    <w:p w14:paraId="51191DFE">
      <w:pPr>
        <w:widowControl/>
        <w:adjustRightInd w:val="0"/>
        <w:ind w:firstLine="560" w:firstLineChars="200"/>
        <w:rPr>
          <w:rFonts w:cs="Times New Roman"/>
          <w:sz w:val="28"/>
          <w:szCs w:val="28"/>
        </w:rPr>
      </w:pPr>
      <w:r>
        <w:rPr>
          <w:rFonts w:cs="Times New Roman"/>
          <w:sz w:val="28"/>
          <w:szCs w:val="28"/>
        </w:rPr>
        <w:t>中共中央、国务院印发《国家水网建设规划纲要》，对优化水利基础设施布局、结构、功能和系统集成</w:t>
      </w:r>
      <w:r>
        <w:rPr>
          <w:rFonts w:hint="eastAsia" w:cs="Times New Roman"/>
          <w:sz w:val="28"/>
          <w:szCs w:val="28"/>
        </w:rPr>
        <w:t>做出</w:t>
      </w:r>
      <w:r>
        <w:rPr>
          <w:rFonts w:cs="Times New Roman"/>
          <w:sz w:val="28"/>
          <w:szCs w:val="28"/>
        </w:rPr>
        <w:t>了顶层设计，提出要加快构建“系统完备、安全可靠，集约高效、绿色智能</w:t>
      </w:r>
      <w:r>
        <w:rPr>
          <w:rFonts w:hint="eastAsia" w:cs="Times New Roman"/>
          <w:sz w:val="28"/>
          <w:szCs w:val="28"/>
        </w:rPr>
        <w:t>、</w:t>
      </w:r>
      <w:r>
        <w:rPr>
          <w:rFonts w:cs="Times New Roman"/>
          <w:sz w:val="28"/>
          <w:szCs w:val="28"/>
        </w:rPr>
        <w:t>循环通畅、调控有序”的国家水网，是以习近平同志为核心的党中央作出的重大战略部署。当前包头市</w:t>
      </w:r>
      <w:r>
        <w:rPr>
          <w:rFonts w:hint="eastAsia" w:cs="Times New Roman"/>
          <w:sz w:val="28"/>
          <w:szCs w:val="28"/>
        </w:rPr>
        <w:t>九原区</w:t>
      </w:r>
      <w:r>
        <w:rPr>
          <w:rFonts w:cs="Times New Roman"/>
          <w:sz w:val="28"/>
          <w:szCs w:val="28"/>
        </w:rPr>
        <w:t>正处于奋力书写中国式现代化</w:t>
      </w:r>
      <w:r>
        <w:rPr>
          <w:rFonts w:hint="eastAsia" w:cs="Times New Roman"/>
          <w:sz w:val="28"/>
          <w:szCs w:val="28"/>
        </w:rPr>
        <w:t>城市</w:t>
      </w:r>
      <w:r>
        <w:rPr>
          <w:rFonts w:cs="Times New Roman"/>
          <w:sz w:val="28"/>
          <w:szCs w:val="28"/>
        </w:rPr>
        <w:t>新篇章的关键期，在更高水平上统筹解决水资源、水生态、水环境、水灾害问题，建设形态更高级、基础更牢固、保障更有力、功能更优化的</w:t>
      </w:r>
      <w:r>
        <w:rPr>
          <w:rFonts w:hint="eastAsia" w:cs="Times New Roman"/>
          <w:sz w:val="28"/>
          <w:szCs w:val="28"/>
        </w:rPr>
        <w:t>九原区</w:t>
      </w:r>
      <w:r>
        <w:rPr>
          <w:rFonts w:cs="Times New Roman"/>
          <w:sz w:val="28"/>
          <w:szCs w:val="28"/>
        </w:rPr>
        <w:t>水网，十分必要且迫切。</w:t>
      </w:r>
    </w:p>
    <w:p w14:paraId="7FC16A55">
      <w:pPr>
        <w:widowControl/>
        <w:adjustRightInd w:val="0"/>
        <w:ind w:firstLine="560" w:firstLineChars="200"/>
        <w:rPr>
          <w:rFonts w:cs="Times New Roman"/>
          <w:sz w:val="28"/>
          <w:szCs w:val="28"/>
        </w:rPr>
      </w:pPr>
      <w:r>
        <w:rPr>
          <w:rFonts w:cs="Times New Roman"/>
          <w:sz w:val="28"/>
          <w:szCs w:val="28"/>
        </w:rPr>
        <w:t>贯彻中央关于水网决策部署、主动衔接</w:t>
      </w:r>
      <w:r>
        <w:rPr>
          <w:rFonts w:hint="eastAsia" w:cs="Times New Roman"/>
          <w:sz w:val="28"/>
          <w:szCs w:val="28"/>
        </w:rPr>
        <w:t>包头市水网</w:t>
      </w:r>
      <w:r>
        <w:rPr>
          <w:rFonts w:cs="Times New Roman"/>
          <w:sz w:val="28"/>
          <w:szCs w:val="28"/>
        </w:rPr>
        <w:t>的迫切需要习近平总书记站在中华民族永续发展的全局和战略高度，亲自擎画、亲自部署、亲自推动国家水网建设，多次深入国家水网工程实地考察，作出重要讲话指示批示，2022年4月26日，总书记主持召开中央财经委员会第十一次会议，指出要加强水利等网络型基础设施建设，把联网补网、强链作为建设的重点，着力提升网络效益，明确要求加快构建国家水网主骨架和大动脉。2022年10月16日，总书记在党的二十大报告中明确要求，优化基础设施布局、结构、功能和系统集成，构建现代化基础设施体系。2022年10月，中共中央、国务院印发《国家水网建设规划纲要》，对国建国家水网进行了具体安排，包括国家骨干网、省级水网、市级水网、县级水网等四级水网。包头市水网作为市级水网，是国家骨干网、内蒙古水网的延伸，要加强与国家骨干网、内蒙古水网互联互通，构建与国家骨干水网、相邻省区水网及市级水网相衔接的水流网络通道和控制性枢纽，提高包头市</w:t>
      </w:r>
      <w:r>
        <w:rPr>
          <w:rFonts w:hint="eastAsia" w:cs="Times New Roman"/>
          <w:sz w:val="28"/>
          <w:szCs w:val="28"/>
        </w:rPr>
        <w:t>九原区</w:t>
      </w:r>
      <w:r>
        <w:rPr>
          <w:rFonts w:cs="Times New Roman"/>
          <w:sz w:val="28"/>
          <w:szCs w:val="28"/>
        </w:rPr>
        <w:t>水安全保障能力。在此背景下，包头市</w:t>
      </w:r>
      <w:r>
        <w:rPr>
          <w:rFonts w:hint="eastAsia" w:cs="Times New Roman"/>
          <w:sz w:val="28"/>
          <w:szCs w:val="28"/>
        </w:rPr>
        <w:t>九原区</w:t>
      </w:r>
      <w:r>
        <w:rPr>
          <w:rFonts w:cs="Times New Roman"/>
          <w:sz w:val="28"/>
          <w:szCs w:val="28"/>
        </w:rPr>
        <w:t>水网要重点承接并落实</w:t>
      </w:r>
      <w:r>
        <w:rPr>
          <w:rFonts w:hint="eastAsia" w:cs="Times New Roman"/>
          <w:sz w:val="28"/>
          <w:szCs w:val="28"/>
        </w:rPr>
        <w:t>包头市</w:t>
      </w:r>
      <w:r>
        <w:rPr>
          <w:rFonts w:cs="Times New Roman"/>
          <w:sz w:val="28"/>
          <w:szCs w:val="28"/>
        </w:rPr>
        <w:t>水网一个主网，增强</w:t>
      </w:r>
      <w:r>
        <w:rPr>
          <w:rFonts w:hint="eastAsia" w:cs="Times New Roman"/>
          <w:sz w:val="28"/>
          <w:szCs w:val="28"/>
        </w:rPr>
        <w:t>九原区</w:t>
      </w:r>
      <w:r>
        <w:rPr>
          <w:rFonts w:cs="Times New Roman"/>
          <w:sz w:val="28"/>
          <w:szCs w:val="28"/>
        </w:rPr>
        <w:t>水利基础设施体系韧性，提升包头市</w:t>
      </w:r>
      <w:r>
        <w:rPr>
          <w:rFonts w:hint="eastAsia" w:cs="Times New Roman"/>
          <w:sz w:val="28"/>
          <w:szCs w:val="28"/>
        </w:rPr>
        <w:t>九原区</w:t>
      </w:r>
      <w:r>
        <w:rPr>
          <w:rFonts w:cs="Times New Roman"/>
          <w:sz w:val="28"/>
          <w:szCs w:val="28"/>
        </w:rPr>
        <w:t>水安全保障水平，支撑</w:t>
      </w:r>
      <w:r>
        <w:rPr>
          <w:rFonts w:hint="eastAsia" w:cs="Times New Roman"/>
          <w:sz w:val="28"/>
          <w:szCs w:val="28"/>
        </w:rPr>
        <w:t>九原区、</w:t>
      </w:r>
      <w:r>
        <w:rPr>
          <w:rFonts w:cs="Times New Roman"/>
          <w:sz w:val="28"/>
          <w:szCs w:val="28"/>
        </w:rPr>
        <w:t>包头市安全、绿色、融合、创新发展。</w:t>
      </w:r>
    </w:p>
    <w:p w14:paraId="4EE4F739">
      <w:pPr>
        <w:widowControl/>
        <w:adjustRightInd w:val="0"/>
        <w:ind w:firstLine="560" w:firstLineChars="200"/>
        <w:rPr>
          <w:rFonts w:cs="Times New Roman"/>
          <w:sz w:val="28"/>
          <w:szCs w:val="28"/>
        </w:rPr>
      </w:pPr>
      <w:r>
        <w:rPr>
          <w:rFonts w:cs="Times New Roman"/>
          <w:sz w:val="28"/>
          <w:szCs w:val="28"/>
        </w:rPr>
        <w:t>统筹解决</w:t>
      </w:r>
      <w:r>
        <w:rPr>
          <w:rFonts w:hint="eastAsia" w:cs="Times New Roman"/>
          <w:sz w:val="28"/>
          <w:szCs w:val="28"/>
        </w:rPr>
        <w:t>九原区</w:t>
      </w:r>
      <w:r>
        <w:rPr>
          <w:rFonts w:cs="Times New Roman"/>
          <w:sz w:val="28"/>
          <w:szCs w:val="28"/>
        </w:rPr>
        <w:t>新老水问题、推动现代化建设的迫切需要进入新发展阶段，</w:t>
      </w:r>
      <w:r>
        <w:rPr>
          <w:rFonts w:hint="eastAsia" w:cs="Times New Roman"/>
          <w:sz w:val="28"/>
          <w:szCs w:val="28"/>
        </w:rPr>
        <w:t>九原区</w:t>
      </w:r>
      <w:r>
        <w:rPr>
          <w:rFonts w:cs="Times New Roman"/>
          <w:sz w:val="28"/>
          <w:szCs w:val="28"/>
        </w:rPr>
        <w:t>经济社会和水利发展的主要矛盾呈现出新的特征，水灾害频发、水资源短缺、水生态损害、水环境污染等新老水问题相互叠加，流域区域</w:t>
      </w:r>
      <w:r>
        <w:rPr>
          <w:rFonts w:hint="eastAsia" w:cs="Times New Roman"/>
          <w:sz w:val="28"/>
          <w:szCs w:val="28"/>
        </w:rPr>
        <w:t>不平衡不充分的发展</w:t>
      </w:r>
      <w:r>
        <w:rPr>
          <w:rFonts w:cs="Times New Roman"/>
          <w:sz w:val="28"/>
          <w:szCs w:val="28"/>
        </w:rPr>
        <w:t>日益突出。</w:t>
      </w:r>
      <w:r>
        <w:rPr>
          <w:rFonts w:hint="eastAsia" w:cs="Times New Roman"/>
          <w:sz w:val="28"/>
          <w:szCs w:val="28"/>
        </w:rPr>
        <w:t>九原区</w:t>
      </w:r>
      <w:r>
        <w:rPr>
          <w:rFonts w:cs="Times New Roman"/>
          <w:sz w:val="28"/>
          <w:szCs w:val="28"/>
        </w:rPr>
        <w:t>水资源时空分布极不均衡，与国土空间开发保护、人口经济发展布局不匹配的问题突出。水资源的承载空间影响着经济社会发展空间，必须适度超前开展水利基础设施建设，加强水资源跨流域跨区域科学配置，增强水资源调控能力和供给能力，促进人口经济与水资源相均衡。</w:t>
      </w:r>
      <w:r>
        <w:rPr>
          <w:rFonts w:hint="eastAsia" w:cs="Times New Roman"/>
          <w:sz w:val="28"/>
          <w:szCs w:val="28"/>
        </w:rPr>
        <w:t>九原区</w:t>
      </w:r>
      <w:r>
        <w:rPr>
          <w:rFonts w:cs="Times New Roman"/>
          <w:sz w:val="28"/>
          <w:szCs w:val="28"/>
        </w:rPr>
        <w:t>水网建设将成为</w:t>
      </w:r>
      <w:r>
        <w:rPr>
          <w:rFonts w:hint="eastAsia" w:cs="Times New Roman"/>
          <w:sz w:val="28"/>
          <w:szCs w:val="28"/>
        </w:rPr>
        <w:t>九原区</w:t>
      </w:r>
      <w:r>
        <w:rPr>
          <w:rFonts w:cs="Times New Roman"/>
          <w:sz w:val="28"/>
          <w:szCs w:val="28"/>
        </w:rPr>
        <w:t>高质量发展和现代化建设的基础支撑，将充分发挥水利工程体系的综合效益，全面提升</w:t>
      </w:r>
      <w:r>
        <w:rPr>
          <w:rFonts w:hint="eastAsia" w:cs="Times New Roman"/>
          <w:sz w:val="28"/>
          <w:szCs w:val="28"/>
        </w:rPr>
        <w:t>九原区</w:t>
      </w:r>
      <w:r>
        <w:rPr>
          <w:rFonts w:cs="Times New Roman"/>
          <w:sz w:val="28"/>
          <w:szCs w:val="28"/>
        </w:rPr>
        <w:t>水资源集约节约利用能力、水资源优化配置能力、水旱灾害防御能力、水生态保护治理能力，推动实现包头市水资源配置供给能力与高质量发展刚性合理用水需求、水旱灾害应对能力与水安全保障要求、水生态环境质量与人民美好生活需求等相互匹配。通过加快构建更高质量、更高标准、更加系统、更可持续的</w:t>
      </w:r>
      <w:r>
        <w:rPr>
          <w:rFonts w:hint="eastAsia" w:cs="Times New Roman"/>
          <w:sz w:val="28"/>
          <w:szCs w:val="28"/>
        </w:rPr>
        <w:t>九原区</w:t>
      </w:r>
      <w:r>
        <w:rPr>
          <w:rFonts w:cs="Times New Roman"/>
          <w:sz w:val="28"/>
          <w:szCs w:val="28"/>
        </w:rPr>
        <w:t>水网，进一步增强供给体系韧性，逐步实现从单一的防洪、供水或灌溉目标转变为多功能协同、多维度治理，从被动应对水安全事件转向主动防控水安全风险发展，从小尺度单一工程向整体性复杂工程发展，为构建新发展格局、推进</w:t>
      </w:r>
      <w:r>
        <w:rPr>
          <w:rFonts w:hint="eastAsia" w:cs="Times New Roman"/>
          <w:sz w:val="28"/>
          <w:szCs w:val="28"/>
        </w:rPr>
        <w:t>九原区</w:t>
      </w:r>
      <w:r>
        <w:rPr>
          <w:rFonts w:cs="Times New Roman"/>
          <w:sz w:val="28"/>
          <w:szCs w:val="28"/>
        </w:rPr>
        <w:t>现代化建设提供坚实的水安全保障。</w:t>
      </w:r>
    </w:p>
    <w:p w14:paraId="40ED3713">
      <w:pPr>
        <w:widowControl/>
        <w:adjustRightInd w:val="0"/>
        <w:ind w:firstLine="640" w:firstLineChars="200"/>
        <w:rPr>
          <w:rFonts w:eastAsia="黑体" w:cs="Times New Roman"/>
          <w:sz w:val="32"/>
          <w:szCs w:val="48"/>
        </w:rPr>
        <w:sectPr>
          <w:pgSz w:w="11906" w:h="16838"/>
          <w:pgMar w:top="1440" w:right="1800" w:bottom="1440" w:left="1800" w:header="1134" w:footer="992" w:gutter="0"/>
          <w:cols w:space="425" w:num="1"/>
          <w:docGrid w:type="lines" w:linePitch="326" w:charSpace="0"/>
        </w:sectPr>
      </w:pPr>
    </w:p>
    <w:p w14:paraId="77CFD006">
      <w:pPr>
        <w:pStyle w:val="2"/>
        <w:widowControl/>
        <w:adjustRightInd w:val="0"/>
        <w:spacing w:before="0" w:after="0" w:line="360" w:lineRule="auto"/>
        <w:jc w:val="left"/>
        <w:rPr>
          <w:rFonts w:eastAsia="黑体" w:cs="Times New Roman"/>
          <w:b w:val="0"/>
          <w:bCs w:val="0"/>
          <w:sz w:val="32"/>
          <w:szCs w:val="48"/>
        </w:rPr>
      </w:pPr>
      <w:bookmarkStart w:id="29" w:name="_Toc198652009"/>
      <w:r>
        <w:rPr>
          <w:rFonts w:eastAsia="黑体" w:cs="Times New Roman"/>
          <w:b w:val="0"/>
          <w:bCs w:val="0"/>
          <w:sz w:val="32"/>
          <w:szCs w:val="48"/>
        </w:rPr>
        <w:t>2</w:t>
      </w:r>
      <w:bookmarkStart w:id="30" w:name="OLE_LINK4"/>
      <w:r>
        <w:rPr>
          <w:rFonts w:eastAsia="黑体" w:cs="Times New Roman"/>
          <w:b w:val="0"/>
          <w:bCs w:val="0"/>
          <w:sz w:val="32"/>
          <w:szCs w:val="48"/>
        </w:rPr>
        <w:t>总体</w:t>
      </w:r>
      <w:r>
        <w:rPr>
          <w:rFonts w:hint="eastAsia" w:eastAsia="黑体" w:cs="Times New Roman"/>
          <w:b w:val="0"/>
          <w:bCs w:val="0"/>
          <w:sz w:val="32"/>
          <w:szCs w:val="48"/>
        </w:rPr>
        <w:t>思路</w:t>
      </w:r>
      <w:bookmarkEnd w:id="29"/>
      <w:bookmarkEnd w:id="30"/>
    </w:p>
    <w:p w14:paraId="7A6C775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31" w:name="_Toc198652010"/>
      <w:r>
        <w:rPr>
          <w:rFonts w:ascii="Times New Roman" w:hAnsi="Times New Roman" w:eastAsia="黑体" w:cs="Times New Roman"/>
          <w:b w:val="0"/>
          <w:bCs w:val="0"/>
          <w:kern w:val="0"/>
          <w:sz w:val="28"/>
          <w:szCs w:val="28"/>
        </w:rPr>
        <w:t>2.1指导思想</w:t>
      </w:r>
      <w:bookmarkEnd w:id="31"/>
    </w:p>
    <w:p w14:paraId="2E2BBD98">
      <w:pPr>
        <w:widowControl/>
        <w:adjustRightInd w:val="0"/>
        <w:ind w:firstLine="560" w:firstLineChars="200"/>
        <w:rPr>
          <w:rFonts w:cs="Times New Roman"/>
          <w:sz w:val="28"/>
          <w:szCs w:val="28"/>
        </w:rPr>
      </w:pPr>
      <w:r>
        <w:rPr>
          <w:rFonts w:cs="Times New Roman"/>
          <w:sz w:val="28"/>
          <w:szCs w:val="28"/>
        </w:rPr>
        <w:t>以习近平新时代中国特色社会主义思想为指导，全面贯彻党的二十大精神，深入落实习近平总书记关于内蒙古工作的重要讲话和指示批示精神，贯彻“节水优先、空间均衡、系统治理、两手发力”治水思路，按照党中央关于水网建设的总体部署，统筹发展与保护、发展与安全，依托国家骨干水网、自治区省级水网</w:t>
      </w:r>
      <w:r>
        <w:rPr>
          <w:rFonts w:hint="eastAsia" w:cs="Times New Roman"/>
          <w:sz w:val="28"/>
          <w:szCs w:val="28"/>
        </w:rPr>
        <w:t>、包头市水网</w:t>
      </w:r>
      <w:r>
        <w:rPr>
          <w:rFonts w:cs="Times New Roman"/>
          <w:sz w:val="28"/>
          <w:szCs w:val="28"/>
        </w:rPr>
        <w:t>，以联网、补网、强链为重点，以完善深度节水控水体系、水资源配置与保障体系、流域防洪排涝减灾体系、水生态系统保护治理体系、智慧管理体系为主要任务，加快构建“系统完备、安全可靠、集约高效、绿色智能、循环通畅、调控有序”的</w:t>
      </w:r>
      <w:r>
        <w:rPr>
          <w:rFonts w:hint="eastAsia" w:cs="Times New Roman"/>
          <w:sz w:val="28"/>
          <w:szCs w:val="28"/>
        </w:rPr>
        <w:t>九原区</w:t>
      </w:r>
      <w:r>
        <w:rPr>
          <w:rFonts w:cs="Times New Roman"/>
          <w:sz w:val="28"/>
          <w:szCs w:val="28"/>
        </w:rPr>
        <w:t>水网，为将</w:t>
      </w:r>
      <w:r>
        <w:rPr>
          <w:rFonts w:hint="eastAsia" w:cs="Times New Roman"/>
          <w:sz w:val="28"/>
          <w:szCs w:val="28"/>
        </w:rPr>
        <w:t>九原区</w:t>
      </w:r>
      <w:r>
        <w:rPr>
          <w:rFonts w:cs="Times New Roman"/>
          <w:sz w:val="28"/>
          <w:szCs w:val="28"/>
        </w:rPr>
        <w:t>打造成为黄河“几字弯”富有影响力的区域性经济中心、令人向往的创新创业城</w:t>
      </w:r>
      <w:r>
        <w:rPr>
          <w:rFonts w:hint="eastAsia" w:cs="Times New Roman"/>
          <w:sz w:val="28"/>
          <w:szCs w:val="28"/>
        </w:rPr>
        <w:t>区</w:t>
      </w:r>
      <w:r>
        <w:rPr>
          <w:rFonts w:cs="Times New Roman"/>
          <w:sz w:val="28"/>
          <w:szCs w:val="28"/>
        </w:rPr>
        <w:t>、美丽宜居</w:t>
      </w:r>
      <w:r>
        <w:rPr>
          <w:rFonts w:hint="eastAsia" w:cs="Times New Roman"/>
          <w:sz w:val="28"/>
          <w:szCs w:val="28"/>
        </w:rPr>
        <w:t>城区</w:t>
      </w:r>
      <w:r>
        <w:rPr>
          <w:rFonts w:cs="Times New Roman"/>
          <w:sz w:val="28"/>
          <w:szCs w:val="28"/>
        </w:rPr>
        <w:t>、幸福平安城市提供坚实的水安全保障。</w:t>
      </w:r>
    </w:p>
    <w:p w14:paraId="5F153A79">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32" w:name="_Toc198652011"/>
      <w:r>
        <w:rPr>
          <w:rFonts w:ascii="Times New Roman" w:hAnsi="Times New Roman" w:eastAsia="黑体" w:cs="Times New Roman"/>
          <w:b w:val="0"/>
          <w:bCs w:val="0"/>
          <w:kern w:val="0"/>
          <w:sz w:val="28"/>
          <w:szCs w:val="28"/>
        </w:rPr>
        <w:t>2.2基本原则</w:t>
      </w:r>
      <w:bookmarkEnd w:id="32"/>
    </w:p>
    <w:p w14:paraId="4C710E05">
      <w:pPr>
        <w:widowControl/>
        <w:adjustRightInd w:val="0"/>
        <w:ind w:firstLine="560" w:firstLineChars="200"/>
        <w:rPr>
          <w:rFonts w:cs="Times New Roman"/>
          <w:sz w:val="28"/>
          <w:szCs w:val="28"/>
        </w:rPr>
      </w:pPr>
      <w:r>
        <w:rPr>
          <w:rFonts w:cs="Times New Roman"/>
          <w:sz w:val="28"/>
          <w:szCs w:val="28"/>
        </w:rPr>
        <w:t>坚持人民至上、确保安全。牢固树立以人民为中心的发展思想，统筹发展</w:t>
      </w:r>
      <w:r>
        <w:rPr>
          <w:rFonts w:hint="eastAsia" w:cs="Times New Roman"/>
          <w:sz w:val="28"/>
          <w:szCs w:val="28"/>
          <w:lang w:eastAsia="zh-CN"/>
        </w:rPr>
        <w:t>和</w:t>
      </w:r>
      <w:r>
        <w:rPr>
          <w:rFonts w:cs="Times New Roman"/>
          <w:sz w:val="28"/>
          <w:szCs w:val="28"/>
        </w:rPr>
        <w:t>安全，把人民对美好生活的向往作为包头市</w:t>
      </w:r>
      <w:r>
        <w:rPr>
          <w:rFonts w:hint="eastAsia" w:cs="Times New Roman"/>
          <w:sz w:val="28"/>
          <w:szCs w:val="28"/>
        </w:rPr>
        <w:t>九原区</w:t>
      </w:r>
      <w:r>
        <w:rPr>
          <w:rFonts w:cs="Times New Roman"/>
          <w:sz w:val="28"/>
          <w:szCs w:val="28"/>
        </w:rPr>
        <w:t>水网建设的出发点和落脚点，依托</w:t>
      </w:r>
      <w:r>
        <w:rPr>
          <w:rFonts w:hint="eastAsia" w:cs="Times New Roman"/>
          <w:sz w:val="28"/>
          <w:szCs w:val="28"/>
        </w:rPr>
        <w:t>包头市</w:t>
      </w:r>
      <w:r>
        <w:rPr>
          <w:rFonts w:cs="Times New Roman"/>
          <w:sz w:val="28"/>
          <w:szCs w:val="28"/>
        </w:rPr>
        <w:t>水网打造幸福河湖，全面提升人民群众的获得感、幸福感、安全感。强化底线思维，筑牢防洪安全底线，提高水网建设的标准与韧性，增强水安全风险防控能力。</w:t>
      </w:r>
    </w:p>
    <w:p w14:paraId="3BB1D800">
      <w:pPr>
        <w:widowControl/>
        <w:adjustRightInd w:val="0"/>
        <w:ind w:firstLine="560" w:firstLineChars="200"/>
        <w:rPr>
          <w:rFonts w:cs="Times New Roman"/>
          <w:sz w:val="28"/>
          <w:szCs w:val="28"/>
        </w:rPr>
      </w:pPr>
      <w:r>
        <w:rPr>
          <w:rFonts w:cs="Times New Roman"/>
          <w:sz w:val="28"/>
          <w:szCs w:val="28"/>
        </w:rPr>
        <w:t>坚持节水优先、绿色发展。充分发挥水资源刚性约束作用，把水资源集约节约利用作为水网规划建设的前提，深入推进</w:t>
      </w:r>
      <w:r>
        <w:rPr>
          <w:rFonts w:hint="eastAsia" w:cs="Times New Roman"/>
          <w:sz w:val="28"/>
          <w:szCs w:val="28"/>
        </w:rPr>
        <w:t>包头市</w:t>
      </w:r>
      <w:r>
        <w:rPr>
          <w:rFonts w:cs="Times New Roman"/>
          <w:sz w:val="28"/>
          <w:szCs w:val="28"/>
        </w:rPr>
        <w:t>节水控水体系建设。树立和践行绿水青山就是金山银山的理念，依托水网构建，加强水生态保护修复，努力维护内蒙古水生态系统的完整性和稳定性，加快建设我国北方重要生态安全屏障，把生态优势转化为发展优势，实现高质量发展。</w:t>
      </w:r>
    </w:p>
    <w:p w14:paraId="1F32A9F2">
      <w:pPr>
        <w:widowControl/>
        <w:adjustRightInd w:val="0"/>
        <w:ind w:firstLine="560" w:firstLineChars="200"/>
        <w:rPr>
          <w:rFonts w:cs="Times New Roman"/>
          <w:sz w:val="28"/>
          <w:szCs w:val="28"/>
        </w:rPr>
      </w:pPr>
      <w:r>
        <w:rPr>
          <w:rFonts w:cs="Times New Roman"/>
          <w:sz w:val="28"/>
          <w:szCs w:val="28"/>
        </w:rPr>
        <w:t>坚持空间均衡、顶层设计。立足</w:t>
      </w:r>
      <w:r>
        <w:rPr>
          <w:rFonts w:hint="eastAsia" w:cs="Times New Roman"/>
          <w:sz w:val="28"/>
          <w:szCs w:val="28"/>
        </w:rPr>
        <w:t>九原区</w:t>
      </w:r>
      <w:r>
        <w:rPr>
          <w:rFonts w:cs="Times New Roman"/>
          <w:sz w:val="28"/>
          <w:szCs w:val="28"/>
        </w:rPr>
        <w:t>水资源南多北少、夏汛冬枯的时空分布特点，科学规划水网工程布局，促进人口经济与水资源环境承载能力、洪水风险状况相适应，实现空间均衡。坚持全局性谋划、战略性布局、一体化推进，科学安排水网工程建设时序，充分发挥水利基础设施网络化的组合效益和整体效能。</w:t>
      </w:r>
    </w:p>
    <w:p w14:paraId="28499355">
      <w:pPr>
        <w:widowControl/>
        <w:adjustRightInd w:val="0"/>
        <w:ind w:firstLine="560" w:firstLineChars="200"/>
        <w:rPr>
          <w:rFonts w:cs="Times New Roman"/>
          <w:sz w:val="28"/>
          <w:szCs w:val="28"/>
        </w:rPr>
      </w:pPr>
      <w:r>
        <w:rPr>
          <w:rFonts w:cs="Times New Roman"/>
          <w:sz w:val="28"/>
          <w:szCs w:val="28"/>
        </w:rPr>
        <w:t>坚持系统治理、衔接融合。坚持山水林田湖草沙一体化综合治理，统筹上下游、干支流、左右岸以及山区与平原、城市与乡村，主动承接</w:t>
      </w:r>
      <w:r>
        <w:rPr>
          <w:rFonts w:hint="eastAsia" w:cs="Times New Roman"/>
          <w:sz w:val="28"/>
          <w:szCs w:val="28"/>
        </w:rPr>
        <w:t>包头市</w:t>
      </w:r>
      <w:r>
        <w:rPr>
          <w:rFonts w:cs="Times New Roman"/>
          <w:sz w:val="28"/>
          <w:szCs w:val="28"/>
        </w:rPr>
        <w:t>水网，协同推进旗县</w:t>
      </w:r>
      <w:r>
        <w:rPr>
          <w:rFonts w:hint="eastAsia" w:cs="Times New Roman"/>
          <w:sz w:val="28"/>
          <w:szCs w:val="28"/>
        </w:rPr>
        <w:t>区</w:t>
      </w:r>
      <w:r>
        <w:rPr>
          <w:rFonts w:cs="Times New Roman"/>
          <w:sz w:val="28"/>
          <w:szCs w:val="28"/>
        </w:rPr>
        <w:t>水网，系统解决水资源、水生态、水环境、水灾害问题。加强相邻</w:t>
      </w:r>
      <w:r>
        <w:rPr>
          <w:rFonts w:hint="eastAsia" w:cs="Times New Roman"/>
          <w:sz w:val="28"/>
          <w:szCs w:val="28"/>
        </w:rPr>
        <w:t>旗县区</w:t>
      </w:r>
      <w:r>
        <w:rPr>
          <w:rFonts w:cs="Times New Roman"/>
          <w:sz w:val="28"/>
          <w:szCs w:val="28"/>
        </w:rPr>
        <w:t>水网间的协调衔接，推动传统水利与新型基础设施深度融合，促进水网与水电、航运、文化旅游的协同合作，提升水网整体融合水平，以水网为载体，展现“黄河草原明珠”国土魅力。</w:t>
      </w:r>
    </w:p>
    <w:p w14:paraId="35075B53">
      <w:pPr>
        <w:widowControl/>
        <w:adjustRightInd w:val="0"/>
        <w:ind w:firstLine="560" w:firstLineChars="200"/>
        <w:rPr>
          <w:rFonts w:cs="Times New Roman"/>
          <w:sz w:val="28"/>
          <w:szCs w:val="28"/>
        </w:rPr>
      </w:pPr>
      <w:r>
        <w:rPr>
          <w:rFonts w:cs="Times New Roman"/>
          <w:sz w:val="28"/>
          <w:szCs w:val="28"/>
        </w:rPr>
        <w:t>坚持两手发力，建管并重。完善水权、水价和生态补偿等市场机制，拓展水生态产品价值转化通道，更好发挥政府作用，吸引社会资本参与水网建设管理，充分发挥市场在资源配置中的决定性作用。推动水网建设和管理体制机制改革，创新水网投融资机制，努力实现水利基础设施市场化、物业化、智能化管理。</w:t>
      </w:r>
    </w:p>
    <w:p w14:paraId="4C5713A7">
      <w:pPr>
        <w:widowControl/>
        <w:adjustRightInd w:val="0"/>
        <w:ind w:firstLine="560" w:firstLineChars="200"/>
        <w:rPr>
          <w:rFonts w:cs="Times New Roman"/>
          <w:sz w:val="28"/>
          <w:szCs w:val="28"/>
        </w:rPr>
      </w:pPr>
      <w:r>
        <w:rPr>
          <w:rFonts w:cs="Times New Roman"/>
          <w:sz w:val="28"/>
          <w:szCs w:val="28"/>
        </w:rPr>
        <w:t>坚持科技创新、智慧赋能。坚持创新驱动、融合共享，积极开展包头市水网建设重大问题研究和关键技术攻关，推动水网规划设计、建设运行、联合调度等科技进步。充分运用新一代信息技术，建设数字孪生水网，实现数字化场景、智慧化模拟、精准化决策，建成具备预报、预警、预演、预案功能的数字孪生水网体系。</w:t>
      </w:r>
    </w:p>
    <w:p w14:paraId="58902C5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33" w:name="_Toc198652012"/>
      <w:r>
        <w:rPr>
          <w:rFonts w:ascii="Times New Roman" w:hAnsi="Times New Roman" w:eastAsia="黑体" w:cs="Times New Roman"/>
          <w:b w:val="0"/>
          <w:bCs w:val="0"/>
          <w:kern w:val="0"/>
          <w:sz w:val="28"/>
          <w:szCs w:val="28"/>
        </w:rPr>
        <w:t>2.3规划范围与水平年</w:t>
      </w:r>
      <w:bookmarkEnd w:id="33"/>
    </w:p>
    <w:p w14:paraId="2E025396">
      <w:pPr>
        <w:pStyle w:val="4"/>
        <w:widowControl/>
        <w:adjustRightInd w:val="0"/>
        <w:spacing w:before="0" w:after="0" w:line="360" w:lineRule="auto"/>
        <w:jc w:val="left"/>
        <w:rPr>
          <w:rFonts w:eastAsia="黑体" w:cs="Times New Roman"/>
          <w:b w:val="0"/>
          <w:bCs w:val="0"/>
          <w:kern w:val="0"/>
          <w:sz w:val="28"/>
          <w:szCs w:val="28"/>
        </w:rPr>
      </w:pPr>
      <w:bookmarkStart w:id="34" w:name="_Toc198652013"/>
      <w:r>
        <w:rPr>
          <w:rFonts w:eastAsia="黑体" w:cs="Times New Roman"/>
          <w:b w:val="0"/>
          <w:bCs w:val="0"/>
          <w:kern w:val="0"/>
          <w:sz w:val="28"/>
          <w:szCs w:val="28"/>
        </w:rPr>
        <w:t>2.3.1规划范围</w:t>
      </w:r>
      <w:bookmarkEnd w:id="34"/>
    </w:p>
    <w:p w14:paraId="2A4D61A2">
      <w:pPr>
        <w:widowControl/>
        <w:adjustRightInd w:val="0"/>
        <w:ind w:firstLine="560" w:firstLineChars="200"/>
        <w:rPr>
          <w:rFonts w:cs="Times New Roman"/>
          <w:sz w:val="28"/>
          <w:szCs w:val="28"/>
        </w:rPr>
      </w:pPr>
      <w:r>
        <w:rPr>
          <w:rFonts w:hint="eastAsia" w:cs="Times New Roman"/>
          <w:sz w:val="28"/>
          <w:szCs w:val="28"/>
        </w:rPr>
        <w:t>本次规划的范围为九原区行政区划范围，九原区总面积734km</w:t>
      </w:r>
      <w:r>
        <w:rPr>
          <w:rFonts w:hint="eastAsia" w:cs="Times New Roman"/>
          <w:sz w:val="28"/>
          <w:szCs w:val="28"/>
          <w:vertAlign w:val="superscript"/>
        </w:rPr>
        <w:t>2</w:t>
      </w:r>
      <w:r>
        <w:rPr>
          <w:rFonts w:hint="eastAsia" w:cs="Times New Roman"/>
          <w:sz w:val="28"/>
          <w:szCs w:val="28"/>
        </w:rPr>
        <w:t>，辖1个苏木、3个镇、4个街道。</w:t>
      </w:r>
      <w:r>
        <w:rPr>
          <w:rFonts w:cs="Times New Roman"/>
          <w:sz w:val="28"/>
          <w:szCs w:val="28"/>
        </w:rPr>
        <w:t>即阿嘎如泰苏木、麻池镇、哈业胡同镇、哈林格尔镇、沙河街道、赛汗街道、萨如拉街道、白音席勒街道范围。</w:t>
      </w:r>
    </w:p>
    <w:p w14:paraId="72D0AB66">
      <w:pPr>
        <w:pStyle w:val="4"/>
        <w:widowControl/>
        <w:adjustRightInd w:val="0"/>
        <w:spacing w:before="0" w:after="0" w:line="360" w:lineRule="auto"/>
        <w:jc w:val="left"/>
        <w:rPr>
          <w:rFonts w:eastAsia="黑体" w:cs="Times New Roman"/>
          <w:b w:val="0"/>
          <w:bCs w:val="0"/>
          <w:kern w:val="0"/>
          <w:sz w:val="28"/>
          <w:szCs w:val="28"/>
        </w:rPr>
      </w:pPr>
      <w:bookmarkStart w:id="35" w:name="_Toc198652014"/>
      <w:r>
        <w:rPr>
          <w:rFonts w:eastAsia="黑体" w:cs="Times New Roman"/>
          <w:b w:val="0"/>
          <w:bCs w:val="0"/>
          <w:kern w:val="0"/>
          <w:sz w:val="28"/>
          <w:szCs w:val="28"/>
        </w:rPr>
        <w:t>2.3.2规划水平年</w:t>
      </w:r>
      <w:bookmarkEnd w:id="35"/>
    </w:p>
    <w:p w14:paraId="2DCB431E">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sz w:val="28"/>
          <w:szCs w:val="28"/>
        </w:rPr>
        <w:t>现状水平年为202</w:t>
      </w:r>
      <w:r>
        <w:rPr>
          <w:rFonts w:hint="eastAsia" w:cs="Times New Roman"/>
          <w:sz w:val="28"/>
          <w:szCs w:val="28"/>
        </w:rPr>
        <w:t>3</w:t>
      </w:r>
      <w:r>
        <w:rPr>
          <w:rFonts w:cs="Times New Roman"/>
          <w:sz w:val="28"/>
          <w:szCs w:val="28"/>
        </w:rPr>
        <w:t>年。规划水平年为2035年，远景展望到2050</w:t>
      </w:r>
      <w:r>
        <w:rPr>
          <w:rFonts w:cs="Times New Roman"/>
          <w:color w:val="000000" w:themeColor="text1"/>
          <w:sz w:val="28"/>
          <w:szCs w:val="28"/>
          <w14:textFill>
            <w14:solidFill>
              <w14:schemeClr w14:val="tx1"/>
            </w14:solidFill>
          </w14:textFill>
        </w:rPr>
        <w:t>年。</w:t>
      </w:r>
    </w:p>
    <w:p w14:paraId="69DA96DC">
      <w:pPr>
        <w:pStyle w:val="3"/>
        <w:widowControl/>
        <w:adjustRightInd w:val="0"/>
        <w:spacing w:before="0" w:after="0" w:line="360" w:lineRule="auto"/>
        <w:jc w:val="left"/>
        <w:rPr>
          <w:rFonts w:ascii="Times New Roman" w:hAnsi="Times New Roman" w:eastAsia="黑体" w:cs="Times New Roman"/>
          <w:b w:val="0"/>
          <w:bCs w:val="0"/>
          <w:color w:val="000000" w:themeColor="text1"/>
          <w:kern w:val="0"/>
          <w:sz w:val="28"/>
          <w:szCs w:val="28"/>
          <w14:textFill>
            <w14:solidFill>
              <w14:schemeClr w14:val="tx1"/>
            </w14:solidFill>
          </w14:textFill>
        </w:rPr>
      </w:pPr>
      <w:bookmarkStart w:id="36" w:name="_Toc198652015"/>
      <w:r>
        <w:rPr>
          <w:rFonts w:ascii="Times New Roman" w:hAnsi="Times New Roman" w:eastAsia="黑体" w:cs="Times New Roman"/>
          <w:b w:val="0"/>
          <w:bCs w:val="0"/>
          <w:color w:val="000000" w:themeColor="text1"/>
          <w:kern w:val="0"/>
          <w:sz w:val="28"/>
          <w:szCs w:val="28"/>
          <w14:textFill>
            <w14:solidFill>
              <w14:schemeClr w14:val="tx1"/>
            </w14:solidFill>
          </w14:textFill>
        </w:rPr>
        <w:t>2.4规划目标</w:t>
      </w:r>
      <w:bookmarkEnd w:id="36"/>
    </w:p>
    <w:p w14:paraId="51CEE4BA">
      <w:pPr>
        <w:pStyle w:val="4"/>
        <w:widowControl/>
        <w:adjustRightInd w:val="0"/>
        <w:spacing w:before="0" w:after="0" w:line="360" w:lineRule="auto"/>
        <w:jc w:val="left"/>
        <w:rPr>
          <w:rFonts w:eastAsia="黑体" w:cs="Times New Roman"/>
          <w:b w:val="0"/>
          <w:bCs w:val="0"/>
          <w:color w:val="000000" w:themeColor="text1"/>
          <w:kern w:val="0"/>
          <w:sz w:val="28"/>
          <w:szCs w:val="28"/>
          <w14:textFill>
            <w14:solidFill>
              <w14:schemeClr w14:val="tx1"/>
            </w14:solidFill>
          </w14:textFill>
        </w:rPr>
      </w:pPr>
      <w:bookmarkStart w:id="37" w:name="_Toc198652016"/>
      <w:r>
        <w:rPr>
          <w:rFonts w:hint="eastAsia" w:eastAsia="黑体" w:cs="Times New Roman"/>
          <w:b w:val="0"/>
          <w:bCs w:val="0"/>
          <w:color w:val="000000" w:themeColor="text1"/>
          <w:kern w:val="0"/>
          <w:sz w:val="28"/>
          <w:szCs w:val="28"/>
          <w14:textFill>
            <w14:solidFill>
              <w14:schemeClr w14:val="tx1"/>
            </w14:solidFill>
          </w14:textFill>
        </w:rPr>
        <w:t>2.4.1节水目标</w:t>
      </w:r>
      <w:bookmarkEnd w:id="37"/>
    </w:p>
    <w:p w14:paraId="4B0AB7AF">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农业节水</w:t>
      </w:r>
    </w:p>
    <w:p w14:paraId="1B8D4460">
      <w:pPr>
        <w:widowControl/>
        <w:adjustRightInd w:val="0"/>
        <w:ind w:firstLine="560" w:firstLineChars="200"/>
        <w:rPr>
          <w:rFonts w:cs="Times New Roman"/>
          <w:sz w:val="28"/>
          <w:szCs w:val="28"/>
        </w:rPr>
      </w:pPr>
      <w:r>
        <w:rPr>
          <w:rFonts w:cs="Times New Roman"/>
          <w:sz w:val="28"/>
          <w:szCs w:val="28"/>
        </w:rPr>
        <w:t>农田灌溉水有效利用系数达到0.</w:t>
      </w:r>
      <w:r>
        <w:rPr>
          <w:rFonts w:hint="eastAsia" w:cs="Times New Roman"/>
          <w:sz w:val="28"/>
          <w:szCs w:val="28"/>
        </w:rPr>
        <w:t>7</w:t>
      </w:r>
      <w:r>
        <w:rPr>
          <w:rFonts w:cs="Times New Roman"/>
          <w:sz w:val="28"/>
          <w:szCs w:val="28"/>
        </w:rPr>
        <w:t>。</w:t>
      </w:r>
    </w:p>
    <w:p w14:paraId="027C6065">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工业节水</w:t>
      </w:r>
    </w:p>
    <w:p w14:paraId="3DEC29E9">
      <w:pPr>
        <w:widowControl/>
        <w:adjustRightInd w:val="0"/>
        <w:ind w:firstLine="560" w:firstLineChars="200"/>
        <w:rPr>
          <w:rFonts w:cs="Times New Roman"/>
          <w:sz w:val="28"/>
          <w:szCs w:val="28"/>
        </w:rPr>
      </w:pPr>
      <w:r>
        <w:rPr>
          <w:rFonts w:hint="eastAsia" w:cs="Times New Roman"/>
          <w:sz w:val="28"/>
          <w:szCs w:val="28"/>
        </w:rPr>
        <w:t>现状年2023年万元工业增加值用水量为12.63m</w:t>
      </w:r>
      <w:r>
        <w:rPr>
          <w:rFonts w:cs="Times New Roman"/>
          <w:sz w:val="28"/>
          <w:szCs w:val="28"/>
          <w:vertAlign w:val="superscript"/>
        </w:rPr>
        <w:t>3</w:t>
      </w:r>
      <w:r>
        <w:rPr>
          <w:rFonts w:hint="eastAsia" w:cs="Times New Roman"/>
          <w:sz w:val="28"/>
          <w:szCs w:val="28"/>
        </w:rPr>
        <w:t>/万元，随着工业节水的不断深入开展，工业用水指标会有所下降，规划年2035年工业用水指标为10.81m</w:t>
      </w:r>
      <w:r>
        <w:rPr>
          <w:rFonts w:cs="Times New Roman"/>
          <w:sz w:val="28"/>
          <w:szCs w:val="28"/>
          <w:vertAlign w:val="superscript"/>
        </w:rPr>
        <w:t>3</w:t>
      </w:r>
      <w:r>
        <w:rPr>
          <w:rFonts w:hint="eastAsia" w:cs="Times New Roman"/>
          <w:sz w:val="28"/>
          <w:szCs w:val="28"/>
        </w:rPr>
        <w:t>/万元，工业用水重复利用率现状年85%。规划年达到95%。</w:t>
      </w:r>
    </w:p>
    <w:p w14:paraId="07EC0A4D">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生活节水</w:t>
      </w:r>
    </w:p>
    <w:p w14:paraId="194290E8">
      <w:pPr>
        <w:widowControl/>
        <w:adjustRightInd w:val="0"/>
        <w:ind w:firstLine="560" w:firstLineChars="200"/>
        <w:rPr>
          <w:rFonts w:cs="Times New Roman"/>
          <w:sz w:val="28"/>
          <w:szCs w:val="28"/>
        </w:rPr>
      </w:pPr>
      <w:r>
        <w:rPr>
          <w:rFonts w:hint="eastAsia" w:cs="Times New Roman"/>
          <w:sz w:val="28"/>
          <w:szCs w:val="28"/>
        </w:rPr>
        <w:t>现状年（2023年），九原区综合生活节水器具普及率为85%，规划到2035年，节水器具普及率将达到100%。城市公共供水管网漏损率达到7%；城市再生水利用率达到79%。</w:t>
      </w:r>
    </w:p>
    <w:p w14:paraId="142C04A3">
      <w:pPr>
        <w:pStyle w:val="4"/>
        <w:widowControl/>
        <w:adjustRightInd w:val="0"/>
        <w:spacing w:before="0" w:after="0" w:line="360" w:lineRule="auto"/>
        <w:jc w:val="left"/>
        <w:rPr>
          <w:rFonts w:eastAsia="黑体" w:cs="Times New Roman"/>
          <w:b w:val="0"/>
          <w:bCs w:val="0"/>
          <w:kern w:val="0"/>
          <w:sz w:val="28"/>
          <w:szCs w:val="28"/>
        </w:rPr>
      </w:pPr>
      <w:bookmarkStart w:id="38" w:name="_Toc198652017"/>
      <w:r>
        <w:rPr>
          <w:rFonts w:hint="eastAsia" w:eastAsia="黑体" w:cs="Times New Roman"/>
          <w:b w:val="0"/>
          <w:bCs w:val="0"/>
          <w:kern w:val="0"/>
          <w:sz w:val="28"/>
          <w:szCs w:val="28"/>
        </w:rPr>
        <w:t>2.4.2</w:t>
      </w:r>
      <w:r>
        <w:rPr>
          <w:rFonts w:eastAsia="黑体" w:cs="Times New Roman"/>
          <w:b w:val="0"/>
          <w:bCs w:val="0"/>
          <w:kern w:val="0"/>
          <w:sz w:val="28"/>
          <w:szCs w:val="28"/>
        </w:rPr>
        <w:t>水资源配置与保障</w:t>
      </w:r>
      <w:bookmarkEnd w:id="38"/>
    </w:p>
    <w:p w14:paraId="28200660">
      <w:pPr>
        <w:widowControl/>
        <w:adjustRightInd w:val="0"/>
        <w:ind w:firstLine="560" w:firstLineChars="200"/>
        <w:rPr>
          <w:rFonts w:cs="Times New Roman"/>
          <w:sz w:val="28"/>
          <w:szCs w:val="28"/>
        </w:rPr>
      </w:pPr>
      <w:r>
        <w:rPr>
          <w:rFonts w:hint="eastAsia" w:cs="Times New Roman"/>
          <w:sz w:val="28"/>
          <w:szCs w:val="28"/>
        </w:rPr>
        <w:t>用3~5年时间，初步形成体系布局完善、设施集约安全、管护规范专业、服务优质高效的农村供水高质量发展格局。到2035年，农村供水工程体系、良性运行的管护机制进一步完善，基本实现农村供水现代化。截止规划现状年2023年底，九原区农村牧区自来水普及率已达到100%，规模化供水人口覆盖比例23.67%，水质达标率95%，九原区域统管覆盖率23.67%，24小时供水比例23.67%，集中供水工程村口计量安装覆盖自然村比例44.37%，集中供水工程入户计量安装覆盖户数比例2.</w:t>
      </w:r>
      <w:r>
        <w:rPr>
          <w:rFonts w:hint="eastAsia" w:cs="Times New Roman"/>
          <w:color w:val="000000" w:themeColor="text1"/>
          <w:sz w:val="28"/>
          <w:szCs w:val="28"/>
          <w14:textFill>
            <w14:solidFill>
              <w14:schemeClr w14:val="tx1"/>
            </w14:solidFill>
          </w14:textFill>
        </w:rPr>
        <w:t>28%；规划到2035年，九原区农村牧区自</w:t>
      </w:r>
      <w:r>
        <w:rPr>
          <w:rFonts w:hint="eastAsia" w:cs="Times New Roman"/>
          <w:sz w:val="28"/>
          <w:szCs w:val="28"/>
        </w:rPr>
        <w:t>来水普及率保持100%，规模化供水人口覆盖比例达到100%，水质达标率保持95%，九原区域统管覆盖率达到100%，24小时供水比例达到100%，集中供水工程村口计量安装覆盖自然村比例达到100%，集中供水工程入户计量安装覆盖户数比例保持2.28%；规划到2035年，九原区农村牧区自来水普及率保持100%，规模化供水人口覆盖比例保持100%，水质达标率保持95%，九原区域统管覆盖率保持100%，24小时供水比例保持100%，集中供水工程村口计量安装覆盖自然村比例保持100%，集中供水工程入户计量安装覆盖户数比例达到100%。</w:t>
      </w:r>
    </w:p>
    <w:p w14:paraId="24D0EC6A">
      <w:pPr>
        <w:pStyle w:val="4"/>
        <w:widowControl/>
        <w:adjustRightInd w:val="0"/>
        <w:spacing w:before="0" w:after="0" w:line="360" w:lineRule="auto"/>
        <w:jc w:val="left"/>
        <w:rPr>
          <w:rFonts w:eastAsia="黑体" w:cs="Times New Roman"/>
          <w:b w:val="0"/>
          <w:bCs w:val="0"/>
          <w:kern w:val="0"/>
          <w:sz w:val="28"/>
          <w:szCs w:val="28"/>
        </w:rPr>
      </w:pPr>
      <w:bookmarkStart w:id="39" w:name="_Toc198652018"/>
      <w:r>
        <w:rPr>
          <w:rFonts w:hint="eastAsia" w:eastAsia="黑体" w:cs="Times New Roman"/>
          <w:b w:val="0"/>
          <w:bCs w:val="0"/>
          <w:kern w:val="0"/>
          <w:sz w:val="28"/>
          <w:szCs w:val="28"/>
        </w:rPr>
        <w:t>2.4.3</w:t>
      </w:r>
      <w:r>
        <w:rPr>
          <w:rFonts w:eastAsia="黑体" w:cs="Times New Roman"/>
          <w:b w:val="0"/>
          <w:bCs w:val="0"/>
          <w:kern w:val="0"/>
          <w:sz w:val="28"/>
          <w:szCs w:val="28"/>
        </w:rPr>
        <w:t>流域防洪排涝减灾</w:t>
      </w:r>
      <w:bookmarkEnd w:id="39"/>
    </w:p>
    <w:p w14:paraId="6478AF7F">
      <w:pPr>
        <w:widowControl/>
        <w:adjustRightInd w:val="0"/>
        <w:ind w:firstLine="560" w:firstLineChars="200"/>
      </w:pPr>
      <w:r>
        <w:rPr>
          <w:rFonts w:hint="eastAsia" w:cs="Times New Roman"/>
          <w:color w:val="000000" w:themeColor="text1"/>
          <w:sz w:val="28"/>
          <w:szCs w:val="28"/>
          <w14:textFill>
            <w14:solidFill>
              <w14:schemeClr w14:val="tx1"/>
            </w14:solidFill>
          </w14:textFill>
        </w:rPr>
        <w:t>到2035年，基本建立九原区内流域区域防洪减灾体系，洪涝灾害防御水平显著提升。九原区黄河干流段全部达到规划标准，城区防洪排涝设施建设明显加强。主要支流</w:t>
      </w:r>
      <w:r>
        <w:rPr>
          <w:rFonts w:hint="eastAsia" w:cs="Times New Roman"/>
          <w:sz w:val="28"/>
          <w:szCs w:val="28"/>
        </w:rPr>
        <w:t>昆都仑河九原段、哈德门沟、四道沙河</w:t>
      </w:r>
      <w:r>
        <w:rPr>
          <w:rFonts w:hint="eastAsia" w:cs="Times New Roman"/>
          <w:color w:val="000000" w:themeColor="text1"/>
          <w:sz w:val="28"/>
          <w:szCs w:val="28"/>
          <w14:textFill>
            <w14:solidFill>
              <w14:schemeClr w14:val="tx1"/>
            </w14:solidFill>
          </w14:textFill>
        </w:rPr>
        <w:t>重点河段达到规划确定的防洪标准，1-5级及以上堤防达标率达到90%以上；流域调蓄洪能力显著增强，重点城镇防洪排涝能力显著提升，洪水风险管控能力显著提升。</w:t>
      </w:r>
    </w:p>
    <w:p w14:paraId="4E78FAC5">
      <w:pPr>
        <w:pStyle w:val="4"/>
        <w:widowControl/>
        <w:adjustRightInd w:val="0"/>
        <w:spacing w:before="0" w:after="0" w:line="360" w:lineRule="auto"/>
        <w:jc w:val="left"/>
        <w:rPr>
          <w:rFonts w:eastAsia="黑体" w:cs="Times New Roman"/>
          <w:b w:val="0"/>
          <w:bCs w:val="0"/>
          <w:kern w:val="0"/>
          <w:sz w:val="28"/>
          <w:szCs w:val="28"/>
        </w:rPr>
      </w:pPr>
      <w:bookmarkStart w:id="40" w:name="_Toc198652019"/>
      <w:r>
        <w:rPr>
          <w:rFonts w:hint="eastAsia" w:eastAsia="黑体" w:cs="Times New Roman"/>
          <w:b w:val="0"/>
          <w:bCs w:val="0"/>
          <w:kern w:val="0"/>
          <w:sz w:val="28"/>
          <w:szCs w:val="28"/>
        </w:rPr>
        <w:t>2.4.4</w:t>
      </w:r>
      <w:r>
        <w:rPr>
          <w:rFonts w:eastAsia="黑体" w:cs="Times New Roman"/>
          <w:b w:val="0"/>
          <w:bCs w:val="0"/>
          <w:kern w:val="0"/>
          <w:sz w:val="28"/>
          <w:szCs w:val="28"/>
        </w:rPr>
        <w:t>水生态保护治理</w:t>
      </w:r>
      <w:bookmarkEnd w:id="40"/>
    </w:p>
    <w:p w14:paraId="31C06289">
      <w:pPr>
        <w:widowControl/>
        <w:adjustRightInd w:val="0"/>
        <w:ind w:firstLine="560" w:firstLineChars="200"/>
        <w:rPr>
          <w:rFonts w:cs="Times New Roman"/>
          <w:sz w:val="28"/>
          <w:szCs w:val="28"/>
        </w:rPr>
      </w:pPr>
      <w:r>
        <w:rPr>
          <w:rFonts w:hint="eastAsia" w:cs="Times New Roman"/>
          <w:sz w:val="28"/>
          <w:szCs w:val="28"/>
        </w:rPr>
        <w:t>规划年工业废水达标排放率达到90%，城市污水（含工业废水）二级处理率达到85%以上；到规划年，工业废水处理达标率达到100%，90%的工业企业基本实现零排放，城市生活污水基本达到再生回用的水质要求。</w:t>
      </w:r>
    </w:p>
    <w:p w14:paraId="35DEA354">
      <w:pPr>
        <w:widowControl/>
        <w:adjustRightInd w:val="0"/>
        <w:ind w:firstLine="560" w:firstLineChars="200"/>
        <w:rPr>
          <w:rFonts w:cs="Times New Roman"/>
          <w:sz w:val="28"/>
          <w:szCs w:val="28"/>
        </w:rPr>
      </w:pPr>
      <w:r>
        <w:rPr>
          <w:rFonts w:hint="eastAsia" w:cs="Times New Roman"/>
          <w:sz w:val="28"/>
          <w:szCs w:val="28"/>
        </w:rPr>
        <w:t>规划年2035年小流域综合治理面积180km</w:t>
      </w:r>
      <w:r>
        <w:rPr>
          <w:rFonts w:hint="eastAsia" w:cs="Times New Roman"/>
          <w:sz w:val="28"/>
          <w:szCs w:val="28"/>
          <w:vertAlign w:val="superscript"/>
        </w:rPr>
        <w:t>2</w:t>
      </w:r>
      <w:r>
        <w:rPr>
          <w:rFonts w:hint="eastAsia" w:cs="Times New Roman"/>
          <w:sz w:val="28"/>
          <w:szCs w:val="28"/>
        </w:rPr>
        <w:t>，水土流失累计治理程度达到90%以上；各项治理措施发挥效益后，使土壤流失控制量达到80%以上，项目区水土流失得到基本控制。涉水空间管控取得明显成效，水土流失得到明显控制，水土保持率达到52.87%。河湖生态流量得到有效保障，重要河流主要控制断面生态流量满足程度达到90%，重要湖泊最低生态水位满足程度达到90%以上。重点河湖得到有效保护，幸福河湖建设取得显著成效，河畅水清、岸绿景美、人水和谐的河湖治理格局基本形成。</w:t>
      </w:r>
    </w:p>
    <w:p w14:paraId="1DE10593">
      <w:pPr>
        <w:pStyle w:val="4"/>
        <w:widowControl/>
        <w:adjustRightInd w:val="0"/>
        <w:spacing w:before="0" w:after="0" w:line="360" w:lineRule="auto"/>
        <w:jc w:val="left"/>
      </w:pPr>
      <w:bookmarkStart w:id="41" w:name="_Toc198652020"/>
      <w:r>
        <w:rPr>
          <w:rFonts w:hint="eastAsia" w:eastAsia="黑体" w:cs="Times New Roman"/>
          <w:b w:val="0"/>
          <w:bCs w:val="0"/>
          <w:kern w:val="0"/>
          <w:sz w:val="28"/>
          <w:szCs w:val="28"/>
        </w:rPr>
        <w:t>2.4.5数字孪生水网建设规划</w:t>
      </w:r>
      <w:bookmarkEnd w:id="41"/>
    </w:p>
    <w:p w14:paraId="3D289C79">
      <w:pPr>
        <w:widowControl/>
        <w:adjustRightInd w:val="0"/>
        <w:ind w:firstLine="560" w:firstLineChars="200"/>
        <w:rPr>
          <w:rFonts w:cs="Times New Roman"/>
          <w:sz w:val="28"/>
          <w:szCs w:val="28"/>
        </w:rPr>
      </w:pPr>
      <w:r>
        <w:rPr>
          <w:rFonts w:hint="eastAsia" w:cs="Times New Roman"/>
          <w:sz w:val="28"/>
          <w:szCs w:val="28"/>
        </w:rPr>
        <w:t>水利信息化是实现对水资源统一配置，统一调度，统一管理的重要技术基础和前提。九原区水利信息化建设还在起步阶段。充分利用现有的网络资源、组建九原区水利通信网，实现信息传输网络化、信息采集自动化，信息管理和处理智能化，提高防灾减灾、资源调配和环境保护的整体能力和办公自动化程度。规划在水网关键要素感知率达到90%、重要水利工程数字孪生覆盖率达到75%、数字孪生流域覆盖率达到40%。</w:t>
      </w:r>
    </w:p>
    <w:p w14:paraId="716530C5">
      <w:pPr>
        <w:pStyle w:val="4"/>
        <w:widowControl/>
        <w:adjustRightInd w:val="0"/>
        <w:spacing w:before="0" w:after="0" w:line="360" w:lineRule="auto"/>
        <w:jc w:val="left"/>
      </w:pPr>
      <w:bookmarkStart w:id="42" w:name="_Toc198652021"/>
      <w:r>
        <w:rPr>
          <w:rFonts w:hint="eastAsia" w:eastAsia="黑体" w:cs="Times New Roman"/>
          <w:b w:val="0"/>
          <w:bCs w:val="0"/>
          <w:kern w:val="0"/>
          <w:sz w:val="28"/>
          <w:szCs w:val="28"/>
        </w:rPr>
        <w:t>2.4.6规划目标指标</w:t>
      </w:r>
      <w:bookmarkEnd w:id="42"/>
    </w:p>
    <w:p w14:paraId="7D7742EE">
      <w:pPr>
        <w:adjustRightInd w:val="0"/>
        <w:spacing w:line="240" w:lineRule="auto"/>
        <w:jc w:val="center"/>
        <w:rPr>
          <w:b/>
          <w:bCs/>
        </w:rPr>
      </w:pPr>
      <w:r>
        <w:rPr>
          <w:b/>
          <w:bCs/>
        </w:rPr>
        <w:t>表2-1</w:t>
      </w:r>
      <w:r>
        <w:rPr>
          <w:rFonts w:hint="eastAsia"/>
          <w:b/>
          <w:bCs/>
        </w:rPr>
        <w:t xml:space="preserve"> </w:t>
      </w:r>
      <w:r>
        <w:rPr>
          <w:b/>
          <w:bCs/>
        </w:rPr>
        <w:t xml:space="preserve"> 规划目标指标</w:t>
      </w:r>
      <w:r>
        <w:rPr>
          <w:rFonts w:hint="eastAsia"/>
          <w:b/>
          <w:bCs/>
        </w:rPr>
        <w:t>（）</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164"/>
        <w:gridCol w:w="2373"/>
        <w:gridCol w:w="977"/>
        <w:gridCol w:w="1309"/>
        <w:gridCol w:w="1974"/>
      </w:tblGrid>
      <w:tr w14:paraId="64170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634FA20A">
            <w:pPr>
              <w:adjustRightInd w:val="0"/>
              <w:spacing w:line="240" w:lineRule="auto"/>
              <w:jc w:val="center"/>
              <w:rPr>
                <w:b/>
                <w:bCs/>
                <w:sz w:val="21"/>
                <w:szCs w:val="21"/>
              </w:rPr>
            </w:pPr>
            <w:r>
              <w:rPr>
                <w:rFonts w:hint="eastAsia"/>
                <w:b/>
                <w:bCs/>
                <w:sz w:val="21"/>
                <w:szCs w:val="21"/>
              </w:rPr>
              <w:t>序号</w:t>
            </w:r>
          </w:p>
        </w:tc>
        <w:tc>
          <w:tcPr>
            <w:tcW w:w="683" w:type="pct"/>
            <w:vAlign w:val="center"/>
          </w:tcPr>
          <w:p w14:paraId="010843F6">
            <w:pPr>
              <w:adjustRightInd w:val="0"/>
              <w:spacing w:line="240" w:lineRule="auto"/>
              <w:jc w:val="center"/>
              <w:rPr>
                <w:b/>
                <w:bCs/>
                <w:sz w:val="21"/>
                <w:szCs w:val="21"/>
              </w:rPr>
            </w:pPr>
            <w:r>
              <w:rPr>
                <w:rFonts w:hint="eastAsia"/>
                <w:b/>
                <w:bCs/>
                <w:sz w:val="21"/>
                <w:szCs w:val="21"/>
              </w:rPr>
              <w:t>目标</w:t>
            </w:r>
          </w:p>
        </w:tc>
        <w:tc>
          <w:tcPr>
            <w:tcW w:w="1392" w:type="pct"/>
            <w:vAlign w:val="center"/>
          </w:tcPr>
          <w:p w14:paraId="3523DE2E">
            <w:pPr>
              <w:adjustRightInd w:val="0"/>
              <w:spacing w:line="240" w:lineRule="auto"/>
              <w:jc w:val="center"/>
              <w:rPr>
                <w:b/>
                <w:bCs/>
                <w:sz w:val="21"/>
                <w:szCs w:val="21"/>
              </w:rPr>
            </w:pPr>
            <w:r>
              <w:rPr>
                <w:rFonts w:hint="eastAsia"/>
                <w:b/>
                <w:bCs/>
                <w:sz w:val="21"/>
                <w:szCs w:val="21"/>
              </w:rPr>
              <w:t>指标</w:t>
            </w:r>
          </w:p>
        </w:tc>
        <w:tc>
          <w:tcPr>
            <w:tcW w:w="573" w:type="pct"/>
            <w:vAlign w:val="center"/>
          </w:tcPr>
          <w:p w14:paraId="3C0F4BD3">
            <w:pPr>
              <w:adjustRightInd w:val="0"/>
              <w:spacing w:line="240" w:lineRule="auto"/>
              <w:jc w:val="center"/>
              <w:rPr>
                <w:b/>
                <w:bCs/>
                <w:sz w:val="21"/>
                <w:szCs w:val="21"/>
              </w:rPr>
            </w:pPr>
            <w:r>
              <w:rPr>
                <w:rFonts w:hint="eastAsia"/>
                <w:b/>
                <w:bCs/>
                <w:sz w:val="21"/>
                <w:szCs w:val="21"/>
              </w:rPr>
              <w:t>单位</w:t>
            </w:r>
          </w:p>
        </w:tc>
        <w:tc>
          <w:tcPr>
            <w:tcW w:w="768" w:type="pct"/>
            <w:vAlign w:val="center"/>
          </w:tcPr>
          <w:p w14:paraId="31DCBD13">
            <w:pPr>
              <w:adjustRightInd w:val="0"/>
              <w:spacing w:line="240" w:lineRule="auto"/>
              <w:jc w:val="center"/>
              <w:rPr>
                <w:b/>
                <w:bCs/>
                <w:sz w:val="21"/>
                <w:szCs w:val="21"/>
              </w:rPr>
            </w:pPr>
            <w:r>
              <w:rPr>
                <w:rFonts w:hint="eastAsia"/>
                <w:b/>
                <w:bCs/>
                <w:sz w:val="21"/>
                <w:szCs w:val="21"/>
              </w:rPr>
              <w:t>现状值</w:t>
            </w:r>
          </w:p>
        </w:tc>
        <w:tc>
          <w:tcPr>
            <w:tcW w:w="1158" w:type="pct"/>
            <w:vAlign w:val="center"/>
          </w:tcPr>
          <w:p w14:paraId="7C4E54C5">
            <w:pPr>
              <w:adjustRightInd w:val="0"/>
              <w:spacing w:line="240" w:lineRule="auto"/>
              <w:jc w:val="center"/>
              <w:rPr>
                <w:b/>
                <w:bCs/>
                <w:sz w:val="21"/>
                <w:szCs w:val="21"/>
              </w:rPr>
            </w:pPr>
            <w:r>
              <w:rPr>
                <w:rFonts w:hint="eastAsia"/>
                <w:b/>
                <w:bCs/>
                <w:sz w:val="21"/>
                <w:szCs w:val="21"/>
              </w:rPr>
              <w:t>2035年</w:t>
            </w:r>
          </w:p>
        </w:tc>
      </w:tr>
      <w:tr w14:paraId="411E0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6243634C">
            <w:pPr>
              <w:adjustRightInd w:val="0"/>
              <w:spacing w:line="240" w:lineRule="auto"/>
              <w:jc w:val="center"/>
              <w:rPr>
                <w:sz w:val="21"/>
                <w:szCs w:val="21"/>
              </w:rPr>
            </w:pPr>
            <w:r>
              <w:rPr>
                <w:rFonts w:hint="eastAsia"/>
                <w:sz w:val="21"/>
                <w:szCs w:val="21"/>
              </w:rPr>
              <w:t>1</w:t>
            </w:r>
          </w:p>
        </w:tc>
        <w:tc>
          <w:tcPr>
            <w:tcW w:w="683" w:type="pct"/>
            <w:vMerge w:val="restart"/>
            <w:vAlign w:val="center"/>
          </w:tcPr>
          <w:p w14:paraId="4E453353">
            <w:pPr>
              <w:adjustRightInd w:val="0"/>
              <w:spacing w:line="240" w:lineRule="auto"/>
              <w:jc w:val="center"/>
              <w:rPr>
                <w:sz w:val="21"/>
                <w:szCs w:val="21"/>
              </w:rPr>
            </w:pPr>
            <w:r>
              <w:rPr>
                <w:rFonts w:hint="eastAsia"/>
                <w:sz w:val="21"/>
                <w:szCs w:val="21"/>
              </w:rPr>
              <w:t>深度节水控水</w:t>
            </w:r>
          </w:p>
        </w:tc>
        <w:tc>
          <w:tcPr>
            <w:tcW w:w="1392" w:type="pct"/>
            <w:vAlign w:val="center"/>
          </w:tcPr>
          <w:p w14:paraId="4FCED363">
            <w:pPr>
              <w:adjustRightInd w:val="0"/>
              <w:spacing w:line="240" w:lineRule="auto"/>
              <w:jc w:val="center"/>
              <w:rPr>
                <w:sz w:val="21"/>
                <w:szCs w:val="21"/>
              </w:rPr>
            </w:pPr>
            <w:r>
              <w:rPr>
                <w:rFonts w:hint="eastAsia"/>
                <w:sz w:val="21"/>
                <w:szCs w:val="21"/>
              </w:rPr>
              <w:t>用水总量</w:t>
            </w:r>
          </w:p>
        </w:tc>
        <w:tc>
          <w:tcPr>
            <w:tcW w:w="573" w:type="pct"/>
            <w:vAlign w:val="center"/>
          </w:tcPr>
          <w:p w14:paraId="4C906DCE">
            <w:pPr>
              <w:adjustRightInd w:val="0"/>
              <w:spacing w:line="240" w:lineRule="auto"/>
              <w:jc w:val="center"/>
              <w:rPr>
                <w:sz w:val="21"/>
                <w:szCs w:val="21"/>
              </w:rPr>
            </w:pPr>
            <w:r>
              <w:rPr>
                <w:rFonts w:hint="eastAsia"/>
                <w:sz w:val="21"/>
                <w:szCs w:val="21"/>
              </w:rPr>
              <w:t>万</w:t>
            </w:r>
            <w:r>
              <w:rPr>
                <w:sz w:val="21"/>
                <w:szCs w:val="21"/>
              </w:rPr>
              <w:t>m³</w:t>
            </w:r>
          </w:p>
        </w:tc>
        <w:tc>
          <w:tcPr>
            <w:tcW w:w="768" w:type="pct"/>
            <w:vAlign w:val="center"/>
          </w:tcPr>
          <w:p w14:paraId="5BD166CE">
            <w:pPr>
              <w:adjustRightInd w:val="0"/>
              <w:spacing w:line="240" w:lineRule="auto"/>
              <w:jc w:val="center"/>
              <w:rPr>
                <w:sz w:val="21"/>
                <w:szCs w:val="21"/>
              </w:rPr>
            </w:pPr>
            <w:r>
              <w:rPr>
                <w:rFonts w:hint="eastAsia" w:cs="Times New Roman"/>
                <w:sz w:val="21"/>
                <w:szCs w:val="21"/>
              </w:rPr>
              <w:t>9770.98</w:t>
            </w:r>
          </w:p>
        </w:tc>
        <w:tc>
          <w:tcPr>
            <w:tcW w:w="1158" w:type="pct"/>
            <w:vAlign w:val="center"/>
          </w:tcPr>
          <w:p w14:paraId="0B61C70E">
            <w:pPr>
              <w:adjustRightInd w:val="0"/>
              <w:spacing w:line="240" w:lineRule="auto"/>
              <w:jc w:val="center"/>
              <w:rPr>
                <w:b/>
                <w:bCs/>
                <w:sz w:val="21"/>
                <w:szCs w:val="21"/>
              </w:rPr>
            </w:pPr>
            <w:r>
              <w:rPr>
                <w:sz w:val="21"/>
                <w:szCs w:val="21"/>
              </w:rPr>
              <w:t>控制在</w:t>
            </w:r>
            <w:r>
              <w:rPr>
                <w:rFonts w:hint="eastAsia"/>
                <w:sz w:val="21"/>
                <w:szCs w:val="21"/>
              </w:rPr>
              <w:t>包头市</w:t>
            </w:r>
            <w:r>
              <w:rPr>
                <w:sz w:val="21"/>
                <w:szCs w:val="21"/>
              </w:rPr>
              <w:t>下达指标内</w:t>
            </w:r>
          </w:p>
        </w:tc>
      </w:tr>
      <w:tr w14:paraId="15202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38BA5529">
            <w:pPr>
              <w:adjustRightInd w:val="0"/>
              <w:spacing w:line="240" w:lineRule="auto"/>
              <w:jc w:val="center"/>
              <w:rPr>
                <w:sz w:val="21"/>
                <w:szCs w:val="21"/>
              </w:rPr>
            </w:pPr>
            <w:r>
              <w:rPr>
                <w:rFonts w:hint="eastAsia"/>
                <w:sz w:val="21"/>
                <w:szCs w:val="21"/>
              </w:rPr>
              <w:t>2</w:t>
            </w:r>
          </w:p>
        </w:tc>
        <w:tc>
          <w:tcPr>
            <w:tcW w:w="683" w:type="pct"/>
            <w:vMerge w:val="continue"/>
            <w:vAlign w:val="center"/>
          </w:tcPr>
          <w:p w14:paraId="5F61D5FE">
            <w:pPr>
              <w:adjustRightInd w:val="0"/>
              <w:spacing w:line="240" w:lineRule="auto"/>
              <w:jc w:val="center"/>
              <w:rPr>
                <w:sz w:val="21"/>
                <w:szCs w:val="21"/>
              </w:rPr>
            </w:pPr>
          </w:p>
        </w:tc>
        <w:tc>
          <w:tcPr>
            <w:tcW w:w="1392" w:type="pct"/>
            <w:vAlign w:val="center"/>
          </w:tcPr>
          <w:p w14:paraId="475B51C8">
            <w:pPr>
              <w:adjustRightInd w:val="0"/>
              <w:spacing w:line="240" w:lineRule="auto"/>
              <w:jc w:val="center"/>
              <w:rPr>
                <w:sz w:val="21"/>
                <w:szCs w:val="21"/>
              </w:rPr>
            </w:pPr>
            <w:bookmarkStart w:id="43" w:name="OLE_LINK2"/>
            <w:r>
              <w:rPr>
                <w:rFonts w:hint="eastAsia"/>
                <w:sz w:val="21"/>
                <w:szCs w:val="21"/>
              </w:rPr>
              <w:t>农田灌溉水有效利用系数</w:t>
            </w:r>
            <w:bookmarkEnd w:id="43"/>
          </w:p>
        </w:tc>
        <w:tc>
          <w:tcPr>
            <w:tcW w:w="573" w:type="pct"/>
            <w:vAlign w:val="center"/>
          </w:tcPr>
          <w:p w14:paraId="155D3DB3">
            <w:pPr>
              <w:adjustRightInd w:val="0"/>
              <w:spacing w:line="240" w:lineRule="auto"/>
              <w:jc w:val="center"/>
              <w:rPr>
                <w:sz w:val="21"/>
                <w:szCs w:val="21"/>
              </w:rPr>
            </w:pPr>
            <w:r>
              <w:rPr>
                <w:rFonts w:hint="eastAsia"/>
                <w:sz w:val="21"/>
                <w:szCs w:val="21"/>
              </w:rPr>
              <w:t>/</w:t>
            </w:r>
          </w:p>
        </w:tc>
        <w:tc>
          <w:tcPr>
            <w:tcW w:w="768" w:type="pct"/>
            <w:vAlign w:val="center"/>
          </w:tcPr>
          <w:p w14:paraId="3514BFEA">
            <w:pPr>
              <w:adjustRightInd w:val="0"/>
              <w:spacing w:line="240" w:lineRule="auto"/>
              <w:jc w:val="center"/>
              <w:rPr>
                <w:sz w:val="21"/>
                <w:szCs w:val="21"/>
              </w:rPr>
            </w:pPr>
            <w:r>
              <w:rPr>
                <w:rFonts w:hint="eastAsia"/>
                <w:sz w:val="21"/>
                <w:szCs w:val="21"/>
              </w:rPr>
              <w:t>0.67</w:t>
            </w:r>
          </w:p>
        </w:tc>
        <w:tc>
          <w:tcPr>
            <w:tcW w:w="1158" w:type="pct"/>
            <w:vAlign w:val="center"/>
          </w:tcPr>
          <w:p w14:paraId="78133D36">
            <w:pPr>
              <w:adjustRightInd w:val="0"/>
              <w:spacing w:line="240" w:lineRule="auto"/>
              <w:jc w:val="center"/>
              <w:rPr>
                <w:sz w:val="21"/>
                <w:szCs w:val="21"/>
              </w:rPr>
            </w:pPr>
            <w:r>
              <w:rPr>
                <w:sz w:val="21"/>
                <w:szCs w:val="21"/>
              </w:rPr>
              <w:t>≥0.</w:t>
            </w:r>
            <w:r>
              <w:rPr>
                <w:rFonts w:hint="eastAsia"/>
                <w:sz w:val="21"/>
                <w:szCs w:val="21"/>
              </w:rPr>
              <w:t>70</w:t>
            </w:r>
          </w:p>
        </w:tc>
      </w:tr>
      <w:tr w14:paraId="72C26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0E4D0D87">
            <w:pPr>
              <w:adjustRightInd w:val="0"/>
              <w:spacing w:line="240" w:lineRule="auto"/>
              <w:jc w:val="center"/>
              <w:rPr>
                <w:sz w:val="21"/>
                <w:szCs w:val="21"/>
              </w:rPr>
            </w:pPr>
            <w:r>
              <w:rPr>
                <w:rFonts w:hint="eastAsia"/>
                <w:sz w:val="21"/>
                <w:szCs w:val="21"/>
              </w:rPr>
              <w:t>3</w:t>
            </w:r>
          </w:p>
        </w:tc>
        <w:tc>
          <w:tcPr>
            <w:tcW w:w="683" w:type="pct"/>
            <w:vMerge w:val="restart"/>
            <w:vAlign w:val="center"/>
          </w:tcPr>
          <w:p w14:paraId="3D0CBBD3">
            <w:pPr>
              <w:adjustRightInd w:val="0"/>
              <w:spacing w:line="240" w:lineRule="auto"/>
              <w:jc w:val="center"/>
              <w:rPr>
                <w:sz w:val="21"/>
                <w:szCs w:val="21"/>
              </w:rPr>
            </w:pPr>
            <w:r>
              <w:rPr>
                <w:rFonts w:hint="eastAsia"/>
                <w:sz w:val="21"/>
                <w:szCs w:val="21"/>
              </w:rPr>
              <w:t>水资源配置保障</w:t>
            </w:r>
          </w:p>
        </w:tc>
        <w:tc>
          <w:tcPr>
            <w:tcW w:w="1392" w:type="pct"/>
            <w:vAlign w:val="center"/>
          </w:tcPr>
          <w:p w14:paraId="2C8E67F1">
            <w:pPr>
              <w:adjustRightInd w:val="0"/>
              <w:spacing w:line="240" w:lineRule="auto"/>
              <w:jc w:val="center"/>
              <w:rPr>
                <w:sz w:val="21"/>
                <w:szCs w:val="21"/>
              </w:rPr>
            </w:pPr>
            <w:r>
              <w:rPr>
                <w:rFonts w:hint="eastAsia"/>
                <w:sz w:val="21"/>
                <w:szCs w:val="21"/>
              </w:rPr>
              <w:t>供水安全系数</w:t>
            </w:r>
          </w:p>
        </w:tc>
        <w:tc>
          <w:tcPr>
            <w:tcW w:w="573" w:type="pct"/>
            <w:vAlign w:val="center"/>
          </w:tcPr>
          <w:p w14:paraId="6E365DAB">
            <w:pPr>
              <w:adjustRightInd w:val="0"/>
              <w:spacing w:line="240" w:lineRule="auto"/>
              <w:jc w:val="center"/>
              <w:rPr>
                <w:sz w:val="21"/>
                <w:szCs w:val="21"/>
              </w:rPr>
            </w:pPr>
            <w:r>
              <w:rPr>
                <w:rFonts w:hint="eastAsia"/>
                <w:sz w:val="21"/>
                <w:szCs w:val="21"/>
              </w:rPr>
              <w:t>/</w:t>
            </w:r>
          </w:p>
        </w:tc>
        <w:tc>
          <w:tcPr>
            <w:tcW w:w="768" w:type="pct"/>
            <w:vAlign w:val="center"/>
          </w:tcPr>
          <w:p w14:paraId="36B45026">
            <w:pPr>
              <w:adjustRightInd w:val="0"/>
              <w:spacing w:line="240" w:lineRule="auto"/>
              <w:jc w:val="center"/>
              <w:rPr>
                <w:sz w:val="21"/>
                <w:szCs w:val="21"/>
              </w:rPr>
            </w:pPr>
            <w:r>
              <w:rPr>
                <w:rFonts w:hint="eastAsia"/>
                <w:sz w:val="21"/>
                <w:szCs w:val="21"/>
              </w:rPr>
              <w:t>0.81</w:t>
            </w:r>
          </w:p>
        </w:tc>
        <w:tc>
          <w:tcPr>
            <w:tcW w:w="1158" w:type="pct"/>
            <w:vAlign w:val="center"/>
          </w:tcPr>
          <w:p w14:paraId="3E73925A">
            <w:pPr>
              <w:adjustRightInd w:val="0"/>
              <w:spacing w:line="240" w:lineRule="auto"/>
              <w:jc w:val="center"/>
              <w:rPr>
                <w:sz w:val="21"/>
                <w:szCs w:val="21"/>
              </w:rPr>
            </w:pPr>
            <w:r>
              <w:rPr>
                <w:sz w:val="21"/>
                <w:szCs w:val="21"/>
              </w:rPr>
              <w:t>≥1.10</w:t>
            </w:r>
          </w:p>
        </w:tc>
      </w:tr>
      <w:tr w14:paraId="52D6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278247FC">
            <w:pPr>
              <w:adjustRightInd w:val="0"/>
              <w:spacing w:line="240" w:lineRule="auto"/>
              <w:jc w:val="center"/>
              <w:rPr>
                <w:sz w:val="21"/>
                <w:szCs w:val="21"/>
              </w:rPr>
            </w:pPr>
            <w:r>
              <w:rPr>
                <w:rFonts w:hint="eastAsia"/>
                <w:sz w:val="21"/>
                <w:szCs w:val="21"/>
              </w:rPr>
              <w:t>4</w:t>
            </w:r>
          </w:p>
        </w:tc>
        <w:tc>
          <w:tcPr>
            <w:tcW w:w="683" w:type="pct"/>
            <w:vMerge w:val="continue"/>
            <w:vAlign w:val="center"/>
          </w:tcPr>
          <w:p w14:paraId="4C1054C1">
            <w:pPr>
              <w:adjustRightInd w:val="0"/>
              <w:spacing w:line="240" w:lineRule="auto"/>
              <w:jc w:val="center"/>
              <w:rPr>
                <w:sz w:val="21"/>
                <w:szCs w:val="21"/>
              </w:rPr>
            </w:pPr>
          </w:p>
        </w:tc>
        <w:tc>
          <w:tcPr>
            <w:tcW w:w="1392" w:type="pct"/>
            <w:vAlign w:val="center"/>
          </w:tcPr>
          <w:p w14:paraId="29905186">
            <w:pPr>
              <w:adjustRightInd w:val="0"/>
              <w:spacing w:line="240" w:lineRule="auto"/>
              <w:jc w:val="center"/>
              <w:rPr>
                <w:sz w:val="21"/>
                <w:szCs w:val="21"/>
              </w:rPr>
            </w:pPr>
            <w:r>
              <w:rPr>
                <w:rFonts w:hint="eastAsia"/>
                <w:sz w:val="21"/>
                <w:szCs w:val="21"/>
              </w:rPr>
              <w:t>县级及以上城市应急备用水源保证率</w:t>
            </w:r>
          </w:p>
        </w:tc>
        <w:tc>
          <w:tcPr>
            <w:tcW w:w="573" w:type="pct"/>
            <w:vAlign w:val="center"/>
          </w:tcPr>
          <w:p w14:paraId="20943A41">
            <w:pPr>
              <w:adjustRightInd w:val="0"/>
              <w:spacing w:line="240" w:lineRule="auto"/>
              <w:jc w:val="center"/>
              <w:rPr>
                <w:sz w:val="21"/>
                <w:szCs w:val="21"/>
              </w:rPr>
            </w:pPr>
            <w:r>
              <w:rPr>
                <w:rFonts w:hint="eastAsia"/>
                <w:sz w:val="21"/>
                <w:szCs w:val="21"/>
              </w:rPr>
              <w:t>100%</w:t>
            </w:r>
          </w:p>
        </w:tc>
        <w:tc>
          <w:tcPr>
            <w:tcW w:w="768" w:type="pct"/>
            <w:vAlign w:val="center"/>
          </w:tcPr>
          <w:p w14:paraId="718B8868">
            <w:pPr>
              <w:adjustRightInd w:val="0"/>
              <w:spacing w:line="240" w:lineRule="auto"/>
              <w:jc w:val="center"/>
              <w:rPr>
                <w:sz w:val="21"/>
                <w:szCs w:val="21"/>
              </w:rPr>
            </w:pPr>
            <w:r>
              <w:rPr>
                <w:rFonts w:hint="eastAsia"/>
                <w:sz w:val="21"/>
                <w:szCs w:val="21"/>
              </w:rPr>
              <w:t>85</w:t>
            </w:r>
          </w:p>
        </w:tc>
        <w:tc>
          <w:tcPr>
            <w:tcW w:w="1158" w:type="pct"/>
            <w:vAlign w:val="center"/>
          </w:tcPr>
          <w:p w14:paraId="10FCF1D9">
            <w:pPr>
              <w:adjustRightInd w:val="0"/>
              <w:spacing w:line="240" w:lineRule="auto"/>
              <w:jc w:val="center"/>
              <w:rPr>
                <w:sz w:val="21"/>
                <w:szCs w:val="21"/>
              </w:rPr>
            </w:pPr>
            <w:r>
              <w:rPr>
                <w:sz w:val="21"/>
                <w:szCs w:val="21"/>
              </w:rPr>
              <w:t>≥</w:t>
            </w:r>
            <w:r>
              <w:rPr>
                <w:rFonts w:hint="eastAsia"/>
                <w:sz w:val="21"/>
                <w:szCs w:val="21"/>
              </w:rPr>
              <w:t>90</w:t>
            </w:r>
          </w:p>
        </w:tc>
      </w:tr>
      <w:tr w14:paraId="329BC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1672E152">
            <w:pPr>
              <w:adjustRightInd w:val="0"/>
              <w:spacing w:line="240" w:lineRule="auto"/>
              <w:jc w:val="center"/>
              <w:rPr>
                <w:sz w:val="21"/>
                <w:szCs w:val="21"/>
              </w:rPr>
            </w:pPr>
            <w:r>
              <w:rPr>
                <w:rFonts w:hint="eastAsia"/>
                <w:sz w:val="21"/>
                <w:szCs w:val="21"/>
              </w:rPr>
              <w:t>5</w:t>
            </w:r>
          </w:p>
        </w:tc>
        <w:tc>
          <w:tcPr>
            <w:tcW w:w="683" w:type="pct"/>
            <w:vMerge w:val="restart"/>
            <w:vAlign w:val="center"/>
          </w:tcPr>
          <w:p w14:paraId="503ABA90">
            <w:pPr>
              <w:adjustRightInd w:val="0"/>
              <w:spacing w:line="240" w:lineRule="auto"/>
              <w:jc w:val="center"/>
              <w:rPr>
                <w:sz w:val="21"/>
                <w:szCs w:val="21"/>
              </w:rPr>
            </w:pPr>
            <w:r>
              <w:rPr>
                <w:rFonts w:hint="eastAsia"/>
                <w:sz w:val="21"/>
                <w:szCs w:val="21"/>
              </w:rPr>
              <w:t>防洪排涝减灾</w:t>
            </w:r>
          </w:p>
        </w:tc>
        <w:tc>
          <w:tcPr>
            <w:tcW w:w="1392" w:type="pct"/>
            <w:vAlign w:val="center"/>
          </w:tcPr>
          <w:p w14:paraId="781413DB">
            <w:pPr>
              <w:adjustRightInd w:val="0"/>
              <w:spacing w:line="240" w:lineRule="auto"/>
              <w:jc w:val="center"/>
              <w:rPr>
                <w:sz w:val="21"/>
                <w:szCs w:val="21"/>
              </w:rPr>
            </w:pPr>
            <w:r>
              <w:rPr>
                <w:rFonts w:hint="eastAsia"/>
                <w:sz w:val="21"/>
                <w:szCs w:val="21"/>
              </w:rPr>
              <w:t>1-5级及以上防洪堤防达标率</w:t>
            </w:r>
          </w:p>
        </w:tc>
        <w:tc>
          <w:tcPr>
            <w:tcW w:w="573" w:type="pct"/>
            <w:vAlign w:val="center"/>
          </w:tcPr>
          <w:p w14:paraId="354AA7D4">
            <w:pPr>
              <w:adjustRightInd w:val="0"/>
              <w:spacing w:line="240" w:lineRule="auto"/>
              <w:jc w:val="center"/>
              <w:rPr>
                <w:sz w:val="21"/>
                <w:szCs w:val="21"/>
              </w:rPr>
            </w:pPr>
            <w:r>
              <w:rPr>
                <w:rFonts w:hint="eastAsia"/>
                <w:sz w:val="21"/>
                <w:szCs w:val="21"/>
              </w:rPr>
              <w:t>100%</w:t>
            </w:r>
          </w:p>
        </w:tc>
        <w:tc>
          <w:tcPr>
            <w:tcW w:w="768" w:type="pct"/>
            <w:vAlign w:val="center"/>
          </w:tcPr>
          <w:p w14:paraId="0C153FD1">
            <w:pPr>
              <w:adjustRightInd w:val="0"/>
              <w:spacing w:line="240" w:lineRule="auto"/>
              <w:jc w:val="center"/>
              <w:rPr>
                <w:sz w:val="21"/>
                <w:szCs w:val="21"/>
              </w:rPr>
            </w:pPr>
            <w:r>
              <w:rPr>
                <w:sz w:val="21"/>
                <w:szCs w:val="21"/>
              </w:rPr>
              <w:t>70.9</w:t>
            </w:r>
          </w:p>
        </w:tc>
        <w:tc>
          <w:tcPr>
            <w:tcW w:w="1158" w:type="pct"/>
            <w:vAlign w:val="center"/>
          </w:tcPr>
          <w:p w14:paraId="263DF990">
            <w:pPr>
              <w:adjustRightInd w:val="0"/>
              <w:spacing w:line="240" w:lineRule="auto"/>
              <w:jc w:val="center"/>
              <w:rPr>
                <w:sz w:val="21"/>
                <w:szCs w:val="21"/>
              </w:rPr>
            </w:pPr>
            <w:r>
              <w:rPr>
                <w:sz w:val="21"/>
                <w:szCs w:val="21"/>
              </w:rPr>
              <w:t>90</w:t>
            </w:r>
          </w:p>
        </w:tc>
      </w:tr>
      <w:tr w14:paraId="46F96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1DD9C9B6">
            <w:pPr>
              <w:adjustRightInd w:val="0"/>
              <w:spacing w:line="240" w:lineRule="auto"/>
              <w:jc w:val="center"/>
              <w:rPr>
                <w:sz w:val="21"/>
                <w:szCs w:val="21"/>
              </w:rPr>
            </w:pPr>
            <w:r>
              <w:rPr>
                <w:rFonts w:hint="eastAsia"/>
                <w:sz w:val="21"/>
                <w:szCs w:val="21"/>
              </w:rPr>
              <w:t>6</w:t>
            </w:r>
          </w:p>
        </w:tc>
        <w:tc>
          <w:tcPr>
            <w:tcW w:w="683" w:type="pct"/>
            <w:vMerge w:val="continue"/>
            <w:vAlign w:val="center"/>
          </w:tcPr>
          <w:p w14:paraId="471BFC0C">
            <w:pPr>
              <w:adjustRightInd w:val="0"/>
              <w:spacing w:line="240" w:lineRule="auto"/>
              <w:jc w:val="center"/>
              <w:rPr>
                <w:sz w:val="21"/>
                <w:szCs w:val="21"/>
              </w:rPr>
            </w:pPr>
          </w:p>
        </w:tc>
        <w:tc>
          <w:tcPr>
            <w:tcW w:w="1392" w:type="pct"/>
            <w:vAlign w:val="center"/>
          </w:tcPr>
          <w:p w14:paraId="17A1234A">
            <w:pPr>
              <w:adjustRightInd w:val="0"/>
              <w:spacing w:line="240" w:lineRule="auto"/>
              <w:jc w:val="center"/>
              <w:rPr>
                <w:sz w:val="21"/>
                <w:szCs w:val="21"/>
              </w:rPr>
            </w:pPr>
            <w:r>
              <w:rPr>
                <w:rFonts w:hint="eastAsia"/>
                <w:sz w:val="21"/>
                <w:szCs w:val="21"/>
              </w:rPr>
              <w:t>县级及以上城市防洪标准达标率</w:t>
            </w:r>
          </w:p>
        </w:tc>
        <w:tc>
          <w:tcPr>
            <w:tcW w:w="573" w:type="pct"/>
            <w:vAlign w:val="center"/>
          </w:tcPr>
          <w:p w14:paraId="1BD399F0">
            <w:pPr>
              <w:adjustRightInd w:val="0"/>
              <w:spacing w:line="240" w:lineRule="auto"/>
              <w:jc w:val="center"/>
              <w:rPr>
                <w:sz w:val="21"/>
                <w:szCs w:val="21"/>
              </w:rPr>
            </w:pPr>
            <w:r>
              <w:rPr>
                <w:rFonts w:hint="eastAsia"/>
                <w:sz w:val="21"/>
                <w:szCs w:val="21"/>
              </w:rPr>
              <w:t>100%</w:t>
            </w:r>
          </w:p>
        </w:tc>
        <w:tc>
          <w:tcPr>
            <w:tcW w:w="768" w:type="pct"/>
            <w:vAlign w:val="center"/>
          </w:tcPr>
          <w:p w14:paraId="1FC54DAD">
            <w:pPr>
              <w:adjustRightInd w:val="0"/>
              <w:spacing w:line="240" w:lineRule="auto"/>
              <w:jc w:val="center"/>
              <w:rPr>
                <w:sz w:val="21"/>
                <w:szCs w:val="21"/>
              </w:rPr>
            </w:pPr>
            <w:r>
              <w:rPr>
                <w:rFonts w:hint="eastAsia"/>
                <w:sz w:val="21"/>
                <w:szCs w:val="21"/>
              </w:rPr>
              <w:t>60</w:t>
            </w:r>
          </w:p>
        </w:tc>
        <w:tc>
          <w:tcPr>
            <w:tcW w:w="1158" w:type="pct"/>
            <w:vAlign w:val="center"/>
          </w:tcPr>
          <w:p w14:paraId="6F41B63E">
            <w:pPr>
              <w:adjustRightInd w:val="0"/>
              <w:spacing w:line="240" w:lineRule="auto"/>
              <w:jc w:val="center"/>
              <w:rPr>
                <w:sz w:val="21"/>
                <w:szCs w:val="21"/>
              </w:rPr>
            </w:pPr>
            <w:r>
              <w:rPr>
                <w:rFonts w:hint="eastAsia"/>
                <w:sz w:val="21"/>
                <w:szCs w:val="21"/>
              </w:rPr>
              <w:t>100</w:t>
            </w:r>
          </w:p>
        </w:tc>
      </w:tr>
      <w:tr w14:paraId="0D9E5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68A0DFD6">
            <w:pPr>
              <w:adjustRightInd w:val="0"/>
              <w:spacing w:line="240" w:lineRule="auto"/>
              <w:jc w:val="center"/>
              <w:rPr>
                <w:sz w:val="21"/>
                <w:szCs w:val="21"/>
              </w:rPr>
            </w:pPr>
            <w:r>
              <w:rPr>
                <w:rFonts w:hint="eastAsia"/>
                <w:sz w:val="21"/>
                <w:szCs w:val="21"/>
              </w:rPr>
              <w:t>7</w:t>
            </w:r>
          </w:p>
        </w:tc>
        <w:tc>
          <w:tcPr>
            <w:tcW w:w="683" w:type="pct"/>
            <w:vMerge w:val="restart"/>
            <w:vAlign w:val="center"/>
          </w:tcPr>
          <w:p w14:paraId="7EB8007C">
            <w:pPr>
              <w:adjustRightInd w:val="0"/>
              <w:spacing w:line="240" w:lineRule="auto"/>
              <w:jc w:val="center"/>
              <w:rPr>
                <w:sz w:val="21"/>
                <w:szCs w:val="21"/>
              </w:rPr>
            </w:pPr>
            <w:r>
              <w:rPr>
                <w:rFonts w:hint="eastAsia"/>
                <w:sz w:val="21"/>
                <w:szCs w:val="21"/>
              </w:rPr>
              <w:t>水生态保护治理</w:t>
            </w:r>
          </w:p>
        </w:tc>
        <w:tc>
          <w:tcPr>
            <w:tcW w:w="1392" w:type="pct"/>
            <w:vAlign w:val="center"/>
          </w:tcPr>
          <w:p w14:paraId="7D4ABCCD">
            <w:pPr>
              <w:adjustRightInd w:val="0"/>
              <w:spacing w:line="240" w:lineRule="auto"/>
              <w:jc w:val="center"/>
              <w:rPr>
                <w:sz w:val="21"/>
                <w:szCs w:val="21"/>
              </w:rPr>
            </w:pPr>
            <w:r>
              <w:rPr>
                <w:rFonts w:hint="eastAsia"/>
                <w:sz w:val="21"/>
                <w:szCs w:val="21"/>
              </w:rPr>
              <w:t>水土保持率</w:t>
            </w:r>
          </w:p>
        </w:tc>
        <w:tc>
          <w:tcPr>
            <w:tcW w:w="573" w:type="pct"/>
            <w:vAlign w:val="center"/>
          </w:tcPr>
          <w:p w14:paraId="373A0CEB">
            <w:pPr>
              <w:adjustRightInd w:val="0"/>
              <w:spacing w:line="240" w:lineRule="auto"/>
              <w:jc w:val="center"/>
              <w:rPr>
                <w:sz w:val="21"/>
                <w:szCs w:val="21"/>
              </w:rPr>
            </w:pPr>
            <w:r>
              <w:rPr>
                <w:rFonts w:hint="eastAsia"/>
                <w:sz w:val="21"/>
                <w:szCs w:val="21"/>
              </w:rPr>
              <w:t>100%</w:t>
            </w:r>
          </w:p>
        </w:tc>
        <w:tc>
          <w:tcPr>
            <w:tcW w:w="768" w:type="pct"/>
            <w:vAlign w:val="center"/>
          </w:tcPr>
          <w:p w14:paraId="490E645E">
            <w:pPr>
              <w:adjustRightInd w:val="0"/>
              <w:spacing w:line="240" w:lineRule="auto"/>
              <w:jc w:val="center"/>
              <w:rPr>
                <w:sz w:val="21"/>
                <w:szCs w:val="21"/>
              </w:rPr>
            </w:pPr>
            <w:r>
              <w:rPr>
                <w:rFonts w:hint="eastAsia"/>
                <w:sz w:val="21"/>
                <w:szCs w:val="21"/>
              </w:rPr>
              <w:t>41.48</w:t>
            </w:r>
          </w:p>
        </w:tc>
        <w:tc>
          <w:tcPr>
            <w:tcW w:w="1158" w:type="pct"/>
            <w:vAlign w:val="center"/>
          </w:tcPr>
          <w:p w14:paraId="482D518D">
            <w:pPr>
              <w:adjustRightInd w:val="0"/>
              <w:spacing w:line="240" w:lineRule="auto"/>
              <w:jc w:val="center"/>
              <w:rPr>
                <w:sz w:val="21"/>
                <w:szCs w:val="21"/>
              </w:rPr>
            </w:pPr>
            <w:r>
              <w:rPr>
                <w:rFonts w:hint="eastAsia"/>
                <w:sz w:val="21"/>
                <w:szCs w:val="21"/>
              </w:rPr>
              <w:t>52.87</w:t>
            </w:r>
          </w:p>
        </w:tc>
      </w:tr>
      <w:tr w14:paraId="0383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0F1C95BB">
            <w:pPr>
              <w:adjustRightInd w:val="0"/>
              <w:spacing w:line="240" w:lineRule="auto"/>
              <w:jc w:val="center"/>
              <w:rPr>
                <w:sz w:val="21"/>
                <w:szCs w:val="21"/>
              </w:rPr>
            </w:pPr>
            <w:r>
              <w:rPr>
                <w:rFonts w:hint="eastAsia"/>
                <w:sz w:val="21"/>
                <w:szCs w:val="21"/>
              </w:rPr>
              <w:t>8</w:t>
            </w:r>
          </w:p>
        </w:tc>
        <w:tc>
          <w:tcPr>
            <w:tcW w:w="683" w:type="pct"/>
            <w:vMerge w:val="continue"/>
            <w:vAlign w:val="center"/>
          </w:tcPr>
          <w:p w14:paraId="56A8EC3E">
            <w:pPr>
              <w:adjustRightInd w:val="0"/>
              <w:spacing w:line="240" w:lineRule="auto"/>
              <w:jc w:val="center"/>
              <w:rPr>
                <w:sz w:val="21"/>
                <w:szCs w:val="21"/>
              </w:rPr>
            </w:pPr>
          </w:p>
        </w:tc>
        <w:tc>
          <w:tcPr>
            <w:tcW w:w="1392" w:type="pct"/>
            <w:vAlign w:val="center"/>
          </w:tcPr>
          <w:p w14:paraId="297BE10A">
            <w:pPr>
              <w:adjustRightInd w:val="0"/>
              <w:spacing w:line="240" w:lineRule="auto"/>
              <w:jc w:val="center"/>
              <w:rPr>
                <w:sz w:val="21"/>
                <w:szCs w:val="21"/>
              </w:rPr>
            </w:pPr>
            <w:r>
              <w:rPr>
                <w:rFonts w:hint="eastAsia"/>
                <w:sz w:val="21"/>
                <w:szCs w:val="21"/>
              </w:rPr>
              <w:t>重要河流主要控制断面生态流量满足程度</w:t>
            </w:r>
          </w:p>
        </w:tc>
        <w:tc>
          <w:tcPr>
            <w:tcW w:w="573" w:type="pct"/>
            <w:vAlign w:val="center"/>
          </w:tcPr>
          <w:p w14:paraId="1075004C">
            <w:pPr>
              <w:adjustRightInd w:val="0"/>
              <w:spacing w:line="240" w:lineRule="auto"/>
              <w:jc w:val="center"/>
              <w:rPr>
                <w:sz w:val="21"/>
                <w:szCs w:val="21"/>
              </w:rPr>
            </w:pPr>
            <w:r>
              <w:rPr>
                <w:rFonts w:hint="eastAsia"/>
                <w:sz w:val="21"/>
                <w:szCs w:val="21"/>
              </w:rPr>
              <w:t>100%</w:t>
            </w:r>
          </w:p>
        </w:tc>
        <w:tc>
          <w:tcPr>
            <w:tcW w:w="768" w:type="pct"/>
            <w:vAlign w:val="center"/>
          </w:tcPr>
          <w:p w14:paraId="739917E8">
            <w:pPr>
              <w:adjustRightInd w:val="0"/>
              <w:spacing w:line="240" w:lineRule="auto"/>
              <w:jc w:val="center"/>
              <w:rPr>
                <w:sz w:val="21"/>
                <w:szCs w:val="21"/>
              </w:rPr>
            </w:pPr>
            <w:r>
              <w:rPr>
                <w:rFonts w:hint="eastAsia"/>
                <w:sz w:val="21"/>
                <w:szCs w:val="21"/>
              </w:rPr>
              <w:t>/</w:t>
            </w:r>
          </w:p>
        </w:tc>
        <w:tc>
          <w:tcPr>
            <w:tcW w:w="1158" w:type="pct"/>
            <w:vAlign w:val="center"/>
          </w:tcPr>
          <w:p w14:paraId="5337173E">
            <w:pPr>
              <w:adjustRightInd w:val="0"/>
              <w:spacing w:line="240" w:lineRule="auto"/>
              <w:jc w:val="center"/>
              <w:rPr>
                <w:sz w:val="21"/>
                <w:szCs w:val="21"/>
              </w:rPr>
            </w:pPr>
            <w:r>
              <w:rPr>
                <w:rFonts w:hint="eastAsia"/>
                <w:sz w:val="21"/>
                <w:szCs w:val="21"/>
              </w:rPr>
              <w:t>90</w:t>
            </w:r>
          </w:p>
        </w:tc>
      </w:tr>
      <w:tr w14:paraId="0F872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65A03121">
            <w:pPr>
              <w:adjustRightInd w:val="0"/>
              <w:spacing w:line="240" w:lineRule="auto"/>
              <w:jc w:val="center"/>
              <w:rPr>
                <w:sz w:val="21"/>
                <w:szCs w:val="21"/>
              </w:rPr>
            </w:pPr>
            <w:r>
              <w:rPr>
                <w:rFonts w:hint="eastAsia"/>
                <w:sz w:val="21"/>
                <w:szCs w:val="21"/>
              </w:rPr>
              <w:t>9</w:t>
            </w:r>
          </w:p>
        </w:tc>
        <w:tc>
          <w:tcPr>
            <w:tcW w:w="683" w:type="pct"/>
            <w:vMerge w:val="continue"/>
            <w:vAlign w:val="center"/>
          </w:tcPr>
          <w:p w14:paraId="4D89AC9C">
            <w:pPr>
              <w:adjustRightInd w:val="0"/>
              <w:spacing w:line="240" w:lineRule="auto"/>
              <w:jc w:val="center"/>
              <w:rPr>
                <w:sz w:val="21"/>
                <w:szCs w:val="21"/>
              </w:rPr>
            </w:pPr>
          </w:p>
        </w:tc>
        <w:tc>
          <w:tcPr>
            <w:tcW w:w="1392" w:type="pct"/>
            <w:vAlign w:val="center"/>
          </w:tcPr>
          <w:p w14:paraId="35AFAC8C">
            <w:pPr>
              <w:adjustRightInd w:val="0"/>
              <w:spacing w:line="240" w:lineRule="auto"/>
              <w:jc w:val="center"/>
              <w:rPr>
                <w:sz w:val="21"/>
                <w:szCs w:val="21"/>
              </w:rPr>
            </w:pPr>
            <w:r>
              <w:rPr>
                <w:rFonts w:hint="eastAsia"/>
                <w:sz w:val="21"/>
                <w:szCs w:val="21"/>
              </w:rPr>
              <w:t>重要湖泊最低生态水位满足程度</w:t>
            </w:r>
          </w:p>
        </w:tc>
        <w:tc>
          <w:tcPr>
            <w:tcW w:w="573" w:type="pct"/>
            <w:vAlign w:val="center"/>
          </w:tcPr>
          <w:p w14:paraId="2F7B4277">
            <w:pPr>
              <w:adjustRightInd w:val="0"/>
              <w:spacing w:line="240" w:lineRule="auto"/>
              <w:jc w:val="center"/>
              <w:rPr>
                <w:sz w:val="21"/>
                <w:szCs w:val="21"/>
              </w:rPr>
            </w:pPr>
            <w:r>
              <w:rPr>
                <w:rFonts w:hint="eastAsia"/>
                <w:sz w:val="21"/>
                <w:szCs w:val="21"/>
              </w:rPr>
              <w:t>100%</w:t>
            </w:r>
          </w:p>
        </w:tc>
        <w:tc>
          <w:tcPr>
            <w:tcW w:w="768" w:type="pct"/>
            <w:vAlign w:val="center"/>
          </w:tcPr>
          <w:p w14:paraId="26B18D46">
            <w:pPr>
              <w:adjustRightInd w:val="0"/>
              <w:spacing w:line="240" w:lineRule="auto"/>
              <w:jc w:val="center"/>
              <w:rPr>
                <w:sz w:val="21"/>
                <w:szCs w:val="21"/>
              </w:rPr>
            </w:pPr>
            <w:r>
              <w:rPr>
                <w:rFonts w:hint="eastAsia"/>
                <w:sz w:val="21"/>
                <w:szCs w:val="21"/>
              </w:rPr>
              <w:t>/</w:t>
            </w:r>
          </w:p>
        </w:tc>
        <w:tc>
          <w:tcPr>
            <w:tcW w:w="1158" w:type="pct"/>
            <w:vAlign w:val="center"/>
          </w:tcPr>
          <w:p w14:paraId="04857932">
            <w:pPr>
              <w:adjustRightInd w:val="0"/>
              <w:spacing w:line="240" w:lineRule="auto"/>
              <w:jc w:val="center"/>
              <w:rPr>
                <w:sz w:val="21"/>
                <w:szCs w:val="21"/>
              </w:rPr>
            </w:pPr>
            <w:r>
              <w:rPr>
                <w:sz w:val="21"/>
                <w:szCs w:val="21"/>
              </w:rPr>
              <w:t>≥</w:t>
            </w:r>
            <w:r>
              <w:rPr>
                <w:rFonts w:hint="eastAsia"/>
                <w:sz w:val="21"/>
                <w:szCs w:val="21"/>
              </w:rPr>
              <w:t>90</w:t>
            </w:r>
          </w:p>
        </w:tc>
      </w:tr>
      <w:tr w14:paraId="56E7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4DF95DBA">
            <w:pPr>
              <w:adjustRightInd w:val="0"/>
              <w:spacing w:line="240" w:lineRule="auto"/>
              <w:jc w:val="center"/>
              <w:rPr>
                <w:sz w:val="21"/>
                <w:szCs w:val="21"/>
              </w:rPr>
            </w:pPr>
            <w:bookmarkStart w:id="44" w:name="_Hlk197503633"/>
            <w:r>
              <w:rPr>
                <w:rFonts w:hint="eastAsia"/>
                <w:sz w:val="21"/>
                <w:szCs w:val="21"/>
              </w:rPr>
              <w:t>10</w:t>
            </w:r>
          </w:p>
        </w:tc>
        <w:tc>
          <w:tcPr>
            <w:tcW w:w="683" w:type="pct"/>
            <w:vMerge w:val="restart"/>
            <w:vAlign w:val="center"/>
          </w:tcPr>
          <w:p w14:paraId="3807BC61">
            <w:pPr>
              <w:adjustRightInd w:val="0"/>
              <w:spacing w:line="240" w:lineRule="auto"/>
              <w:jc w:val="center"/>
              <w:rPr>
                <w:sz w:val="21"/>
                <w:szCs w:val="21"/>
              </w:rPr>
            </w:pPr>
            <w:bookmarkStart w:id="45" w:name="_Hlk197503424"/>
            <w:r>
              <w:rPr>
                <w:rFonts w:hint="eastAsia"/>
                <w:sz w:val="21"/>
                <w:szCs w:val="21"/>
              </w:rPr>
              <w:t>数字孪生水网</w:t>
            </w:r>
            <w:bookmarkEnd w:id="45"/>
          </w:p>
        </w:tc>
        <w:tc>
          <w:tcPr>
            <w:tcW w:w="1392" w:type="pct"/>
            <w:vAlign w:val="center"/>
          </w:tcPr>
          <w:p w14:paraId="1BD2B1C7">
            <w:pPr>
              <w:adjustRightInd w:val="0"/>
              <w:spacing w:line="240" w:lineRule="auto"/>
              <w:jc w:val="center"/>
              <w:rPr>
                <w:sz w:val="21"/>
                <w:szCs w:val="21"/>
              </w:rPr>
            </w:pPr>
            <w:r>
              <w:rPr>
                <w:rFonts w:hint="eastAsia"/>
                <w:sz w:val="21"/>
                <w:szCs w:val="21"/>
              </w:rPr>
              <w:t>水网关键要素感知率</w:t>
            </w:r>
          </w:p>
        </w:tc>
        <w:tc>
          <w:tcPr>
            <w:tcW w:w="573" w:type="pct"/>
            <w:vAlign w:val="center"/>
          </w:tcPr>
          <w:p w14:paraId="7CFADF47">
            <w:pPr>
              <w:adjustRightInd w:val="0"/>
              <w:spacing w:line="240" w:lineRule="auto"/>
              <w:jc w:val="center"/>
              <w:rPr>
                <w:sz w:val="21"/>
                <w:szCs w:val="21"/>
              </w:rPr>
            </w:pPr>
            <w:r>
              <w:rPr>
                <w:rFonts w:hint="eastAsia"/>
                <w:sz w:val="21"/>
                <w:szCs w:val="21"/>
              </w:rPr>
              <w:t>100%</w:t>
            </w:r>
          </w:p>
        </w:tc>
        <w:tc>
          <w:tcPr>
            <w:tcW w:w="768" w:type="pct"/>
            <w:vAlign w:val="center"/>
          </w:tcPr>
          <w:p w14:paraId="3F54ABA4">
            <w:pPr>
              <w:adjustRightInd w:val="0"/>
              <w:spacing w:line="240" w:lineRule="auto"/>
              <w:jc w:val="center"/>
              <w:rPr>
                <w:sz w:val="21"/>
                <w:szCs w:val="21"/>
              </w:rPr>
            </w:pPr>
            <w:r>
              <w:rPr>
                <w:rFonts w:hint="eastAsia"/>
                <w:sz w:val="21"/>
                <w:szCs w:val="21"/>
              </w:rPr>
              <w:t>40</w:t>
            </w:r>
          </w:p>
        </w:tc>
        <w:tc>
          <w:tcPr>
            <w:tcW w:w="1158" w:type="pct"/>
            <w:vAlign w:val="center"/>
          </w:tcPr>
          <w:p w14:paraId="2E498E5E">
            <w:pPr>
              <w:adjustRightInd w:val="0"/>
              <w:spacing w:line="240" w:lineRule="auto"/>
              <w:jc w:val="center"/>
              <w:rPr>
                <w:sz w:val="21"/>
                <w:szCs w:val="21"/>
              </w:rPr>
            </w:pPr>
            <w:r>
              <w:rPr>
                <w:rFonts w:hint="eastAsia"/>
                <w:sz w:val="21"/>
                <w:szCs w:val="21"/>
              </w:rPr>
              <w:t>90</w:t>
            </w:r>
          </w:p>
        </w:tc>
      </w:tr>
      <w:tr w14:paraId="5868B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083A8D0C">
            <w:pPr>
              <w:adjustRightInd w:val="0"/>
              <w:spacing w:line="240" w:lineRule="auto"/>
              <w:jc w:val="center"/>
              <w:rPr>
                <w:sz w:val="21"/>
                <w:szCs w:val="21"/>
              </w:rPr>
            </w:pPr>
            <w:r>
              <w:rPr>
                <w:rFonts w:hint="eastAsia"/>
                <w:sz w:val="21"/>
                <w:szCs w:val="21"/>
              </w:rPr>
              <w:t>11</w:t>
            </w:r>
          </w:p>
        </w:tc>
        <w:tc>
          <w:tcPr>
            <w:tcW w:w="683" w:type="pct"/>
            <w:vMerge w:val="continue"/>
            <w:vAlign w:val="center"/>
          </w:tcPr>
          <w:p w14:paraId="4941B6F6">
            <w:pPr>
              <w:adjustRightInd w:val="0"/>
              <w:spacing w:line="240" w:lineRule="auto"/>
              <w:jc w:val="center"/>
              <w:rPr>
                <w:sz w:val="21"/>
                <w:szCs w:val="21"/>
              </w:rPr>
            </w:pPr>
          </w:p>
        </w:tc>
        <w:tc>
          <w:tcPr>
            <w:tcW w:w="1392" w:type="pct"/>
            <w:vAlign w:val="center"/>
          </w:tcPr>
          <w:p w14:paraId="7914DEA5">
            <w:pPr>
              <w:adjustRightInd w:val="0"/>
              <w:spacing w:line="240" w:lineRule="auto"/>
              <w:jc w:val="center"/>
              <w:rPr>
                <w:sz w:val="21"/>
                <w:szCs w:val="21"/>
              </w:rPr>
            </w:pPr>
            <w:r>
              <w:rPr>
                <w:rFonts w:hint="eastAsia"/>
                <w:sz w:val="21"/>
                <w:szCs w:val="21"/>
              </w:rPr>
              <w:t>重要水利工程数字孪生覆盖率</w:t>
            </w:r>
          </w:p>
        </w:tc>
        <w:tc>
          <w:tcPr>
            <w:tcW w:w="573" w:type="pct"/>
            <w:vAlign w:val="center"/>
          </w:tcPr>
          <w:p w14:paraId="30AE53A2">
            <w:pPr>
              <w:adjustRightInd w:val="0"/>
              <w:spacing w:line="240" w:lineRule="auto"/>
              <w:jc w:val="center"/>
              <w:rPr>
                <w:sz w:val="21"/>
                <w:szCs w:val="21"/>
              </w:rPr>
            </w:pPr>
            <w:r>
              <w:rPr>
                <w:rFonts w:hint="eastAsia"/>
                <w:sz w:val="21"/>
                <w:szCs w:val="21"/>
              </w:rPr>
              <w:t>100%</w:t>
            </w:r>
          </w:p>
        </w:tc>
        <w:tc>
          <w:tcPr>
            <w:tcW w:w="768" w:type="pct"/>
            <w:vAlign w:val="center"/>
          </w:tcPr>
          <w:p w14:paraId="2ACB32B6">
            <w:pPr>
              <w:adjustRightInd w:val="0"/>
              <w:spacing w:line="240" w:lineRule="auto"/>
              <w:jc w:val="center"/>
              <w:rPr>
                <w:sz w:val="21"/>
                <w:szCs w:val="21"/>
              </w:rPr>
            </w:pPr>
            <w:r>
              <w:rPr>
                <w:rFonts w:hint="eastAsia"/>
                <w:sz w:val="21"/>
                <w:szCs w:val="21"/>
              </w:rPr>
              <w:t>/</w:t>
            </w:r>
          </w:p>
        </w:tc>
        <w:tc>
          <w:tcPr>
            <w:tcW w:w="1158" w:type="pct"/>
            <w:vAlign w:val="center"/>
          </w:tcPr>
          <w:p w14:paraId="5065472F">
            <w:pPr>
              <w:adjustRightInd w:val="0"/>
              <w:spacing w:line="240" w:lineRule="auto"/>
              <w:jc w:val="center"/>
              <w:rPr>
                <w:sz w:val="21"/>
                <w:szCs w:val="21"/>
              </w:rPr>
            </w:pPr>
            <w:r>
              <w:rPr>
                <w:sz w:val="21"/>
                <w:szCs w:val="21"/>
              </w:rPr>
              <w:t>≥</w:t>
            </w:r>
            <w:r>
              <w:rPr>
                <w:rFonts w:hint="eastAsia"/>
                <w:sz w:val="21"/>
                <w:szCs w:val="21"/>
              </w:rPr>
              <w:t>75</w:t>
            </w:r>
          </w:p>
        </w:tc>
      </w:tr>
      <w:tr w14:paraId="37FA1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14:paraId="43933148">
            <w:pPr>
              <w:adjustRightInd w:val="0"/>
              <w:spacing w:line="240" w:lineRule="auto"/>
              <w:jc w:val="center"/>
              <w:rPr>
                <w:sz w:val="21"/>
                <w:szCs w:val="21"/>
              </w:rPr>
            </w:pPr>
            <w:r>
              <w:rPr>
                <w:rFonts w:hint="eastAsia"/>
                <w:sz w:val="21"/>
                <w:szCs w:val="21"/>
              </w:rPr>
              <w:t>12</w:t>
            </w:r>
          </w:p>
        </w:tc>
        <w:tc>
          <w:tcPr>
            <w:tcW w:w="683" w:type="pct"/>
            <w:vMerge w:val="continue"/>
            <w:vAlign w:val="center"/>
          </w:tcPr>
          <w:p w14:paraId="00D67DE3">
            <w:pPr>
              <w:adjustRightInd w:val="0"/>
              <w:spacing w:line="240" w:lineRule="auto"/>
              <w:jc w:val="center"/>
              <w:rPr>
                <w:sz w:val="21"/>
                <w:szCs w:val="21"/>
              </w:rPr>
            </w:pPr>
          </w:p>
        </w:tc>
        <w:tc>
          <w:tcPr>
            <w:tcW w:w="1392" w:type="pct"/>
            <w:vAlign w:val="center"/>
          </w:tcPr>
          <w:p w14:paraId="3FA82211">
            <w:pPr>
              <w:adjustRightInd w:val="0"/>
              <w:spacing w:line="240" w:lineRule="auto"/>
              <w:jc w:val="center"/>
              <w:rPr>
                <w:sz w:val="21"/>
                <w:szCs w:val="21"/>
              </w:rPr>
            </w:pPr>
            <w:r>
              <w:rPr>
                <w:rFonts w:hint="eastAsia"/>
                <w:sz w:val="21"/>
                <w:szCs w:val="21"/>
              </w:rPr>
              <w:t>数字孪生流域覆盖率</w:t>
            </w:r>
          </w:p>
        </w:tc>
        <w:tc>
          <w:tcPr>
            <w:tcW w:w="573" w:type="pct"/>
            <w:vAlign w:val="center"/>
          </w:tcPr>
          <w:p w14:paraId="302FAD49">
            <w:pPr>
              <w:adjustRightInd w:val="0"/>
              <w:spacing w:line="240" w:lineRule="auto"/>
              <w:jc w:val="center"/>
              <w:rPr>
                <w:sz w:val="21"/>
                <w:szCs w:val="21"/>
              </w:rPr>
            </w:pPr>
            <w:r>
              <w:rPr>
                <w:rFonts w:hint="eastAsia"/>
                <w:sz w:val="21"/>
                <w:szCs w:val="21"/>
              </w:rPr>
              <w:t>100%</w:t>
            </w:r>
          </w:p>
        </w:tc>
        <w:tc>
          <w:tcPr>
            <w:tcW w:w="768" w:type="pct"/>
            <w:vAlign w:val="center"/>
          </w:tcPr>
          <w:p w14:paraId="301796EC">
            <w:pPr>
              <w:adjustRightInd w:val="0"/>
              <w:spacing w:line="240" w:lineRule="auto"/>
              <w:jc w:val="center"/>
              <w:rPr>
                <w:sz w:val="21"/>
                <w:szCs w:val="21"/>
              </w:rPr>
            </w:pPr>
            <w:r>
              <w:rPr>
                <w:rFonts w:hint="eastAsia"/>
                <w:sz w:val="21"/>
                <w:szCs w:val="21"/>
              </w:rPr>
              <w:t>/</w:t>
            </w:r>
          </w:p>
        </w:tc>
        <w:tc>
          <w:tcPr>
            <w:tcW w:w="1158" w:type="pct"/>
            <w:vAlign w:val="center"/>
          </w:tcPr>
          <w:p w14:paraId="1405A791">
            <w:pPr>
              <w:adjustRightInd w:val="0"/>
              <w:spacing w:line="240" w:lineRule="auto"/>
              <w:jc w:val="center"/>
              <w:rPr>
                <w:sz w:val="21"/>
                <w:szCs w:val="21"/>
              </w:rPr>
            </w:pPr>
            <w:r>
              <w:rPr>
                <w:sz w:val="21"/>
                <w:szCs w:val="21"/>
              </w:rPr>
              <w:t>≥</w:t>
            </w:r>
            <w:r>
              <w:rPr>
                <w:rFonts w:hint="eastAsia"/>
                <w:sz w:val="21"/>
                <w:szCs w:val="21"/>
              </w:rPr>
              <w:t>40</w:t>
            </w:r>
          </w:p>
        </w:tc>
      </w:tr>
      <w:bookmarkEnd w:id="44"/>
    </w:tbl>
    <w:p w14:paraId="426093BC">
      <w:pPr>
        <w:widowControl/>
        <w:adjustRightInd w:val="0"/>
        <w:spacing w:line="240" w:lineRule="auto"/>
        <w:rPr>
          <w:rFonts w:cs="Times New Roman"/>
          <w:b/>
          <w:bCs/>
          <w:sz w:val="21"/>
          <w:szCs w:val="21"/>
        </w:rPr>
      </w:pPr>
      <w:r>
        <w:rPr>
          <w:rFonts w:cs="Times New Roman"/>
          <w:b/>
          <w:bCs/>
          <w:sz w:val="21"/>
          <w:szCs w:val="21"/>
        </w:rPr>
        <w:t>注：</w:t>
      </w:r>
    </w:p>
    <w:p w14:paraId="250FC238">
      <w:pPr>
        <w:widowControl/>
        <w:adjustRightInd w:val="0"/>
        <w:spacing w:line="240" w:lineRule="auto"/>
        <w:rPr>
          <w:rFonts w:cs="Times New Roman"/>
          <w:sz w:val="21"/>
          <w:szCs w:val="21"/>
        </w:rPr>
      </w:pPr>
      <w:r>
        <w:rPr>
          <w:rFonts w:cs="Times New Roman"/>
          <w:sz w:val="21"/>
          <w:szCs w:val="21"/>
        </w:rPr>
        <w:t>1、用水总量控制、万元GDP用水量下降率、农田灌溉水有效利用系数以自治区实际下达控制指标为准。</w:t>
      </w:r>
    </w:p>
    <w:p w14:paraId="105F8E5B">
      <w:pPr>
        <w:widowControl/>
        <w:adjustRightInd w:val="0"/>
        <w:spacing w:line="240" w:lineRule="auto"/>
        <w:rPr>
          <w:rFonts w:cs="Times New Roman"/>
          <w:sz w:val="21"/>
          <w:szCs w:val="21"/>
        </w:rPr>
      </w:pPr>
      <w:r>
        <w:rPr>
          <w:rFonts w:cs="Times New Roman"/>
          <w:b/>
          <w:bCs/>
          <w:sz w:val="21"/>
          <w:szCs w:val="21"/>
        </w:rPr>
        <w:t>2、供水安全系数：</w:t>
      </w:r>
      <w:r>
        <w:rPr>
          <w:rFonts w:cs="Times New Roman"/>
          <w:sz w:val="21"/>
          <w:szCs w:val="21"/>
        </w:rPr>
        <w:t>指有效供水能力与供水量的比值，其中有效供水能力指供水能力中不含地下水超采与河道内生态用水挤占的部分、水库等蓄水工程因淤积难以发挥作用的部分、因丰枯变化导致水源不足的部分等。</w:t>
      </w:r>
    </w:p>
    <w:p w14:paraId="36CE845F">
      <w:pPr>
        <w:widowControl/>
        <w:adjustRightInd w:val="0"/>
        <w:spacing w:line="240" w:lineRule="auto"/>
        <w:rPr>
          <w:rFonts w:cs="Times New Roman"/>
          <w:sz w:val="21"/>
          <w:szCs w:val="21"/>
        </w:rPr>
      </w:pPr>
      <w:r>
        <w:rPr>
          <w:rFonts w:cs="Times New Roman"/>
          <w:b/>
          <w:bCs/>
          <w:sz w:val="21"/>
          <w:szCs w:val="21"/>
        </w:rPr>
        <w:t>3、县级及以上城市应急备用水源保证率：</w:t>
      </w:r>
      <w:r>
        <w:rPr>
          <w:rFonts w:cs="Times New Roman"/>
          <w:sz w:val="21"/>
          <w:szCs w:val="21"/>
        </w:rPr>
        <w:t>指在特殊干旱、突发水污染事故以及紧急状态等非常规情形下具备供水水源的县级及以上城市个数占全区县级及以上城市总数的比例。</w:t>
      </w:r>
    </w:p>
    <w:p w14:paraId="73B53D0A">
      <w:pPr>
        <w:widowControl/>
        <w:adjustRightInd w:val="0"/>
        <w:spacing w:line="240" w:lineRule="auto"/>
        <w:rPr>
          <w:rFonts w:cs="Times New Roman"/>
          <w:sz w:val="21"/>
          <w:szCs w:val="21"/>
        </w:rPr>
      </w:pPr>
      <w:r>
        <w:rPr>
          <w:rFonts w:cs="Times New Roman"/>
          <w:b/>
          <w:bCs/>
          <w:sz w:val="21"/>
          <w:szCs w:val="21"/>
        </w:rPr>
        <w:t>4、1-5级及以上堤防达标率：</w:t>
      </w:r>
      <w:r>
        <w:rPr>
          <w:rFonts w:cs="Times New Roman"/>
          <w:sz w:val="21"/>
          <w:szCs w:val="21"/>
        </w:rPr>
        <w:t>指1-5级及以上堤防中，达标堤防长度占堤防总长度的比例。</w:t>
      </w:r>
    </w:p>
    <w:p w14:paraId="3DD80B90">
      <w:pPr>
        <w:widowControl/>
        <w:adjustRightInd w:val="0"/>
        <w:spacing w:line="240" w:lineRule="auto"/>
        <w:rPr>
          <w:rFonts w:cs="Times New Roman"/>
          <w:sz w:val="21"/>
          <w:szCs w:val="21"/>
        </w:rPr>
      </w:pPr>
      <w:r>
        <w:rPr>
          <w:rFonts w:cs="Times New Roman"/>
          <w:b/>
          <w:bCs/>
          <w:sz w:val="21"/>
          <w:szCs w:val="21"/>
        </w:rPr>
        <w:t>5、重要河流主要控制断面生态流量满足程度：</w:t>
      </w:r>
      <w:r>
        <w:rPr>
          <w:rFonts w:cs="Times New Roman"/>
          <w:sz w:val="21"/>
          <w:szCs w:val="21"/>
        </w:rPr>
        <w:t>指重要河流主要控制断面中满足生态流量目标要求的断面个数与控制断面总个数的比值。</w:t>
      </w:r>
    </w:p>
    <w:p w14:paraId="55916F62">
      <w:pPr>
        <w:widowControl/>
        <w:adjustRightInd w:val="0"/>
        <w:spacing w:line="240" w:lineRule="auto"/>
        <w:rPr>
          <w:rFonts w:cs="Times New Roman"/>
          <w:sz w:val="21"/>
          <w:szCs w:val="21"/>
        </w:rPr>
      </w:pPr>
      <w:r>
        <w:rPr>
          <w:rFonts w:cs="Times New Roman"/>
          <w:b/>
          <w:bCs/>
          <w:sz w:val="21"/>
          <w:szCs w:val="21"/>
        </w:rPr>
        <w:t>6、重要湖泊最低生态水位满足程度：</w:t>
      </w:r>
      <w:r>
        <w:rPr>
          <w:rFonts w:cs="Times New Roman"/>
          <w:sz w:val="21"/>
          <w:szCs w:val="21"/>
        </w:rPr>
        <w:t>指满足最低生态水位要求的重要湖泊个数与确定生态水位要求的重要湖泊总个数的比值。</w:t>
      </w:r>
    </w:p>
    <w:p w14:paraId="6BF071B1">
      <w:pPr>
        <w:widowControl/>
        <w:adjustRightInd w:val="0"/>
        <w:spacing w:line="240" w:lineRule="auto"/>
        <w:rPr>
          <w:rFonts w:cs="Times New Roman"/>
          <w:sz w:val="21"/>
          <w:szCs w:val="21"/>
        </w:rPr>
      </w:pPr>
      <w:r>
        <w:rPr>
          <w:rFonts w:cs="Times New Roman"/>
          <w:b/>
          <w:bCs/>
          <w:sz w:val="21"/>
          <w:szCs w:val="21"/>
        </w:rPr>
        <w:t>7、水土保持率：</w:t>
      </w:r>
      <w:r>
        <w:rPr>
          <w:rFonts w:cs="Times New Roman"/>
          <w:sz w:val="21"/>
          <w:szCs w:val="21"/>
        </w:rPr>
        <w:t>指区域内水土保持状况良好的面积占区域国土面积的比例。</w:t>
      </w:r>
    </w:p>
    <w:p w14:paraId="65EC4C55">
      <w:pPr>
        <w:widowControl/>
        <w:adjustRightInd w:val="0"/>
        <w:spacing w:line="240" w:lineRule="auto"/>
        <w:rPr>
          <w:rFonts w:cs="Times New Roman"/>
          <w:sz w:val="21"/>
          <w:szCs w:val="21"/>
        </w:rPr>
      </w:pPr>
      <w:r>
        <w:rPr>
          <w:rFonts w:cs="Times New Roman"/>
          <w:b/>
          <w:bCs/>
          <w:sz w:val="21"/>
          <w:szCs w:val="21"/>
        </w:rPr>
        <w:t>8、水网关键要素感知率：</w:t>
      </w:r>
      <w:r>
        <w:rPr>
          <w:rFonts w:cs="Times New Roman"/>
          <w:sz w:val="21"/>
          <w:szCs w:val="21"/>
        </w:rPr>
        <w:t>指纳入包头市水网的重要河湖、水库、引调水、涵闸泵站等监测对象水雨情、工情等关键要素实现监测的数量与监测要素总数的比值。</w:t>
      </w:r>
    </w:p>
    <w:p w14:paraId="73048FD8">
      <w:pPr>
        <w:widowControl/>
        <w:adjustRightInd w:val="0"/>
        <w:spacing w:line="240" w:lineRule="auto"/>
        <w:rPr>
          <w:rFonts w:cs="Times New Roman"/>
          <w:sz w:val="21"/>
          <w:szCs w:val="21"/>
        </w:rPr>
      </w:pPr>
      <w:r>
        <w:rPr>
          <w:rFonts w:cs="Times New Roman"/>
          <w:b/>
          <w:bCs/>
          <w:sz w:val="21"/>
          <w:szCs w:val="21"/>
        </w:rPr>
        <w:t>9、重要水利工程数字孪生覆盖率：</w:t>
      </w:r>
      <w:r>
        <w:rPr>
          <w:rFonts w:cs="Times New Roman"/>
          <w:sz w:val="21"/>
          <w:szCs w:val="21"/>
        </w:rPr>
        <w:t>指纳入包头市水网的水库、蓄滞洪区、引调水、泵闸站等重要水利工程中实现数字孪生的工程数量占工程总数的比例。</w:t>
      </w:r>
    </w:p>
    <w:p w14:paraId="3A6FBDB6">
      <w:pPr>
        <w:widowControl/>
        <w:adjustRightInd w:val="0"/>
        <w:spacing w:line="240" w:lineRule="auto"/>
        <w:rPr>
          <w:rFonts w:cs="Times New Roman"/>
          <w:sz w:val="21"/>
          <w:szCs w:val="21"/>
        </w:rPr>
      </w:pPr>
      <w:r>
        <w:rPr>
          <w:rFonts w:cs="Times New Roman"/>
          <w:sz w:val="21"/>
          <w:szCs w:val="21"/>
        </w:rPr>
        <w:t>10、数字孪生流域覆盖率：指纳入包头市水网的流域面积1000km</w:t>
      </w:r>
      <w:r>
        <w:rPr>
          <w:rFonts w:cs="Times New Roman"/>
          <w:sz w:val="21"/>
          <w:szCs w:val="21"/>
          <w:vertAlign w:val="superscript"/>
        </w:rPr>
        <w:t>2</w:t>
      </w:r>
      <w:r>
        <w:rPr>
          <w:rFonts w:cs="Times New Roman"/>
          <w:sz w:val="21"/>
          <w:szCs w:val="21"/>
        </w:rPr>
        <w:t>及以上河流、水面面积在10km</w:t>
      </w:r>
      <w:r>
        <w:rPr>
          <w:rFonts w:cs="Times New Roman"/>
          <w:sz w:val="21"/>
          <w:szCs w:val="21"/>
          <w:vertAlign w:val="superscript"/>
        </w:rPr>
        <w:t>2</w:t>
      </w:r>
      <w:r>
        <w:rPr>
          <w:rFonts w:cs="Times New Roman"/>
          <w:sz w:val="21"/>
          <w:szCs w:val="21"/>
        </w:rPr>
        <w:t>及以上的湖泊建成数字孪生流域的数量占比。</w:t>
      </w:r>
    </w:p>
    <w:p w14:paraId="31F8BD92">
      <w:pPr>
        <w:pStyle w:val="3"/>
        <w:widowControl/>
        <w:adjustRightInd w:val="0"/>
        <w:spacing w:before="156" w:beforeLines="50" w:after="0" w:line="360" w:lineRule="auto"/>
        <w:jc w:val="left"/>
        <w:rPr>
          <w:rFonts w:ascii="Times New Roman" w:hAnsi="Times New Roman" w:eastAsia="黑体" w:cs="Times New Roman"/>
          <w:b w:val="0"/>
          <w:bCs w:val="0"/>
          <w:kern w:val="0"/>
          <w:sz w:val="28"/>
          <w:szCs w:val="28"/>
        </w:rPr>
      </w:pPr>
      <w:bookmarkStart w:id="46" w:name="_Toc198652022"/>
      <w:r>
        <w:rPr>
          <w:rFonts w:ascii="Times New Roman" w:hAnsi="Times New Roman" w:eastAsia="黑体" w:cs="Times New Roman"/>
          <w:b w:val="0"/>
          <w:bCs w:val="0"/>
          <w:kern w:val="0"/>
          <w:sz w:val="28"/>
          <w:szCs w:val="28"/>
        </w:rPr>
        <w:t>2.5</w:t>
      </w:r>
      <w:r>
        <w:rPr>
          <w:rFonts w:hint="eastAsia" w:ascii="Times New Roman" w:hAnsi="Times New Roman" w:eastAsia="黑体" w:cs="Times New Roman"/>
          <w:b w:val="0"/>
          <w:bCs w:val="0"/>
          <w:kern w:val="0"/>
          <w:sz w:val="28"/>
          <w:szCs w:val="28"/>
        </w:rPr>
        <w:t>规划</w:t>
      </w:r>
      <w:r>
        <w:rPr>
          <w:rFonts w:ascii="Times New Roman" w:hAnsi="Times New Roman" w:eastAsia="黑体" w:cs="Times New Roman"/>
          <w:b w:val="0"/>
          <w:bCs w:val="0"/>
          <w:kern w:val="0"/>
          <w:sz w:val="28"/>
          <w:szCs w:val="28"/>
        </w:rPr>
        <w:t>布局</w:t>
      </w:r>
      <w:bookmarkEnd w:id="46"/>
    </w:p>
    <w:p w14:paraId="2E8D4EFA">
      <w:pPr>
        <w:widowControl/>
        <w:adjustRightInd w:val="0"/>
        <w:ind w:firstLine="560" w:firstLineChars="200"/>
        <w:rPr>
          <w:rFonts w:cs="Times New Roman"/>
          <w:sz w:val="28"/>
          <w:szCs w:val="28"/>
        </w:rPr>
      </w:pPr>
      <w:r>
        <w:rPr>
          <w:rFonts w:cs="Times New Roman"/>
          <w:sz w:val="28"/>
          <w:szCs w:val="28"/>
        </w:rPr>
        <w:t>围绕包头市</w:t>
      </w:r>
      <w:r>
        <w:rPr>
          <w:rFonts w:hint="eastAsia" w:cs="Times New Roman"/>
          <w:sz w:val="28"/>
          <w:szCs w:val="28"/>
        </w:rPr>
        <w:t>九原区</w:t>
      </w:r>
      <w:r>
        <w:rPr>
          <w:rFonts w:cs="Times New Roman"/>
          <w:sz w:val="28"/>
          <w:szCs w:val="28"/>
        </w:rPr>
        <w:t>水资源短缺这个最大矛盾，尽可能做大蓄水的“盆”，按照“水安、水美、水活”的三步走战略推进（见图2-1），在时间上呈现不同阶段发展要求，在空间上使水资源与国土空间功能更加匹配，推动包头市</w:t>
      </w:r>
      <w:r>
        <w:rPr>
          <w:rFonts w:hint="eastAsia" w:cs="Times New Roman"/>
          <w:sz w:val="28"/>
          <w:szCs w:val="28"/>
        </w:rPr>
        <w:t>九原区</w:t>
      </w:r>
      <w:r>
        <w:rPr>
          <w:rFonts w:cs="Times New Roman"/>
          <w:sz w:val="28"/>
          <w:szCs w:val="28"/>
        </w:rPr>
        <w:t>水网建设。</w:t>
      </w:r>
    </w:p>
    <w:p w14:paraId="2B6B3CD3">
      <w:pPr>
        <w:pStyle w:val="4"/>
        <w:widowControl/>
        <w:adjustRightInd w:val="0"/>
        <w:spacing w:before="0" w:after="0" w:line="360" w:lineRule="auto"/>
        <w:jc w:val="left"/>
        <w:rPr>
          <w:rFonts w:eastAsia="黑体" w:cs="Times New Roman"/>
          <w:b w:val="0"/>
          <w:bCs w:val="0"/>
          <w:kern w:val="0"/>
          <w:sz w:val="28"/>
          <w:szCs w:val="28"/>
        </w:rPr>
      </w:pPr>
      <w:bookmarkStart w:id="47" w:name="_Toc198652023"/>
      <w:r>
        <w:rPr>
          <w:rFonts w:hint="eastAsia" w:eastAsia="黑体" w:cs="Times New Roman"/>
          <w:b w:val="0"/>
          <w:bCs w:val="0"/>
          <w:kern w:val="0"/>
          <w:sz w:val="28"/>
          <w:szCs w:val="28"/>
        </w:rPr>
        <w:t>2.5.1</w:t>
      </w:r>
      <w:r>
        <w:rPr>
          <w:rFonts w:eastAsia="黑体" w:cs="Times New Roman"/>
          <w:b w:val="0"/>
          <w:bCs w:val="0"/>
          <w:kern w:val="0"/>
          <w:sz w:val="28"/>
          <w:szCs w:val="28"/>
        </w:rPr>
        <w:t>战略推进</w:t>
      </w:r>
      <w:bookmarkEnd w:id="47"/>
    </w:p>
    <w:p w14:paraId="716E8F3A">
      <w:pPr>
        <w:widowControl/>
        <w:adjustRightInd w:val="0"/>
        <w:ind w:firstLine="560" w:firstLineChars="200"/>
        <w:rPr>
          <w:rFonts w:cs="Times New Roman"/>
          <w:sz w:val="28"/>
          <w:szCs w:val="28"/>
        </w:rPr>
      </w:pPr>
      <w:r>
        <w:rPr>
          <w:rFonts w:cs="Times New Roman"/>
          <w:sz w:val="28"/>
          <w:szCs w:val="28"/>
        </w:rPr>
        <w:t>“水安”：核心是让水留下来并实现有序流动，打造安全河湖。通过流域防洪体系升级，让洪水出路安全畅通；通过水资源空间均衡调配，让城乡供水优质稳定；通过生态用水全过程恢复，让河湖碧水长流；通过智慧赋能，让水网管理精准高效。全面筑牢水网的安全根基，让水按照自然规律和生态规律在水网中有序流动，打造健康河湖，保障城乡防洪安全、供水安全、粮食安全、能源安全和生态安全，建成与经济社会发展相适应的水网基础设施体系。</w:t>
      </w:r>
    </w:p>
    <w:p w14:paraId="63CE8155">
      <w:pPr>
        <w:widowControl/>
        <w:adjustRightInd w:val="0"/>
        <w:ind w:firstLine="560" w:firstLineChars="200"/>
        <w:rPr>
          <w:rFonts w:cs="Times New Roman"/>
          <w:sz w:val="28"/>
          <w:szCs w:val="28"/>
        </w:rPr>
      </w:pPr>
      <w:r>
        <w:rPr>
          <w:rFonts w:cs="Times New Roman"/>
          <w:sz w:val="28"/>
          <w:szCs w:val="28"/>
        </w:rPr>
        <w:t>“水美”：核心是塑造水清岸美的河湖生态空间，打造美丽河湖。紧紧围绕河湖生态系统多样性、稳定性、持续性和人民群众美好生活新期盼，以加快建设“造福人民的幸福河”为目标，按照“管空间、优生态、美环境、赋文化”的思路，加强水网空间管控，持续推进水土保持和水源涵养，构建河湖生态绿道，推进水美乡村助力乡村振兴，打造美丽河湖，着力增进水网生态人文福祉，全域展现</w:t>
      </w:r>
      <w:r>
        <w:rPr>
          <w:rFonts w:hint="eastAsia" w:cs="Times New Roman"/>
          <w:sz w:val="28"/>
          <w:szCs w:val="28"/>
        </w:rPr>
        <w:t>九原区农耕与城镇</w:t>
      </w:r>
      <w:r>
        <w:rPr>
          <w:rFonts w:cs="Times New Roman"/>
          <w:sz w:val="28"/>
          <w:szCs w:val="28"/>
        </w:rPr>
        <w:t>共生交融的魅力。</w:t>
      </w:r>
    </w:p>
    <w:p w14:paraId="4268A6C0">
      <w:pPr>
        <w:widowControl/>
        <w:adjustRightInd w:val="0"/>
        <w:ind w:firstLine="560" w:firstLineChars="200"/>
        <w:rPr>
          <w:rFonts w:cs="Times New Roman"/>
          <w:sz w:val="28"/>
          <w:szCs w:val="28"/>
        </w:rPr>
      </w:pPr>
      <w:r>
        <w:rPr>
          <w:rFonts w:cs="Times New Roman"/>
          <w:sz w:val="28"/>
          <w:szCs w:val="28"/>
        </w:rPr>
        <w:t>“水活”：核心是激活“</w:t>
      </w:r>
      <w:r>
        <w:rPr>
          <w:rFonts w:hint="eastAsia" w:cs="Times New Roman"/>
          <w:sz w:val="28"/>
          <w:szCs w:val="28"/>
        </w:rPr>
        <w:t>九原区</w:t>
      </w:r>
      <w:r>
        <w:rPr>
          <w:rFonts w:cs="Times New Roman"/>
          <w:sz w:val="28"/>
          <w:szCs w:val="28"/>
        </w:rPr>
        <w:t>水网+”的活力经济带，打造幸福河湖。结合“双碳”战略及“两山”理念，通过水文旅体系建设，推动黄河文化转化为经济动力；通过优质水生态产品培育，推动绿色畜牧助推乡村振兴；通过“两山”转化模式，推动绿色经济助推</w:t>
      </w:r>
      <w:r>
        <w:rPr>
          <w:rFonts w:hint="eastAsia" w:cs="Times New Roman"/>
          <w:sz w:val="28"/>
          <w:szCs w:val="28"/>
        </w:rPr>
        <w:t>九原区</w:t>
      </w:r>
      <w:r>
        <w:rPr>
          <w:rFonts w:cs="Times New Roman"/>
          <w:sz w:val="28"/>
          <w:szCs w:val="28"/>
        </w:rPr>
        <w:t>经济社会高质量转型升级。以水为纽带，让水“富”起来，为推动</w:t>
      </w:r>
      <w:r>
        <w:rPr>
          <w:rFonts w:hint="eastAsia" w:cs="Times New Roman"/>
          <w:sz w:val="28"/>
          <w:szCs w:val="28"/>
        </w:rPr>
        <w:t>九原区</w:t>
      </w:r>
      <w:r>
        <w:rPr>
          <w:rFonts w:cs="Times New Roman"/>
          <w:sz w:val="28"/>
          <w:szCs w:val="28"/>
        </w:rPr>
        <w:t>实现共同富裕注入“水动力”，打造幸福河湖，不断提升</w:t>
      </w:r>
      <w:r>
        <w:rPr>
          <w:rFonts w:hint="eastAsia" w:cs="Times New Roman"/>
          <w:sz w:val="28"/>
          <w:szCs w:val="28"/>
        </w:rPr>
        <w:t>九原区</w:t>
      </w:r>
      <w:r>
        <w:rPr>
          <w:rFonts w:cs="Times New Roman"/>
          <w:sz w:val="28"/>
          <w:szCs w:val="28"/>
        </w:rPr>
        <w:t>人民的获得感、幸福感、安全感。</w:t>
      </w:r>
    </w:p>
    <w:p w14:paraId="674F8EA1">
      <w:pPr>
        <w:widowControl/>
        <w:adjustRightInd w:val="0"/>
        <w:jc w:val="center"/>
        <w:rPr>
          <w:rFonts w:cs="Times New Roman"/>
          <w:sz w:val="28"/>
          <w:szCs w:val="28"/>
        </w:rPr>
      </w:pPr>
      <w:r>
        <w:drawing>
          <wp:inline distT="0" distB="0" distL="0" distR="0">
            <wp:extent cx="5274310" cy="2421255"/>
            <wp:effectExtent l="0" t="0" r="2540" b="0"/>
            <wp:docPr id="1893300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00270" name="图片 1"/>
                    <pic:cNvPicPr>
                      <a:picLocks noChangeAspect="1"/>
                    </pic:cNvPicPr>
                  </pic:nvPicPr>
                  <pic:blipFill>
                    <a:blip r:embed="rId37"/>
                    <a:stretch>
                      <a:fillRect/>
                    </a:stretch>
                  </pic:blipFill>
                  <pic:spPr>
                    <a:xfrm>
                      <a:off x="0" y="0"/>
                      <a:ext cx="5274310" cy="2421255"/>
                    </a:xfrm>
                    <a:prstGeom prst="rect">
                      <a:avLst/>
                    </a:prstGeom>
                  </pic:spPr>
                </pic:pic>
              </a:graphicData>
            </a:graphic>
          </wp:inline>
        </w:drawing>
      </w:r>
      <w:r>
        <w:rPr>
          <w:rFonts w:cs="Times New Roman"/>
          <w:sz w:val="28"/>
          <w:szCs w:val="28"/>
        </w:rPr>
        <w:t>图2-1</w:t>
      </w:r>
      <w:r>
        <w:rPr>
          <w:rFonts w:hint="eastAsia" w:cs="Times New Roman"/>
          <w:sz w:val="28"/>
          <w:szCs w:val="28"/>
        </w:rPr>
        <w:t xml:space="preserve"> </w:t>
      </w:r>
      <w:r>
        <w:rPr>
          <w:rFonts w:cs="Times New Roman"/>
          <w:sz w:val="28"/>
          <w:szCs w:val="28"/>
        </w:rPr>
        <w:t>包头市</w:t>
      </w:r>
      <w:r>
        <w:rPr>
          <w:rFonts w:hint="eastAsia" w:cs="Times New Roman"/>
          <w:sz w:val="28"/>
          <w:szCs w:val="28"/>
        </w:rPr>
        <w:t>九原区</w:t>
      </w:r>
      <w:r>
        <w:rPr>
          <w:rFonts w:cs="Times New Roman"/>
          <w:sz w:val="28"/>
          <w:szCs w:val="28"/>
        </w:rPr>
        <w:t>水网战略推进图</w:t>
      </w:r>
    </w:p>
    <w:p w14:paraId="10329E17">
      <w:pPr>
        <w:pStyle w:val="4"/>
        <w:widowControl/>
        <w:adjustRightInd w:val="0"/>
        <w:spacing w:before="0" w:after="0" w:line="360" w:lineRule="auto"/>
        <w:jc w:val="left"/>
        <w:rPr>
          <w:rFonts w:eastAsia="黑体" w:cs="Times New Roman"/>
          <w:b w:val="0"/>
          <w:bCs w:val="0"/>
          <w:kern w:val="0"/>
          <w:sz w:val="28"/>
          <w:szCs w:val="28"/>
        </w:rPr>
      </w:pPr>
      <w:bookmarkStart w:id="48" w:name="_Toc198652024"/>
      <w:r>
        <w:rPr>
          <w:rFonts w:hint="eastAsia" w:eastAsia="黑体" w:cs="Times New Roman"/>
          <w:b w:val="0"/>
          <w:bCs w:val="0"/>
          <w:kern w:val="0"/>
          <w:sz w:val="28"/>
          <w:szCs w:val="28"/>
        </w:rPr>
        <w:t>2.5.2</w:t>
      </w:r>
      <w:r>
        <w:rPr>
          <w:rFonts w:eastAsia="黑体" w:cs="Times New Roman"/>
          <w:b w:val="0"/>
          <w:bCs w:val="0"/>
          <w:kern w:val="0"/>
          <w:sz w:val="28"/>
          <w:szCs w:val="28"/>
        </w:rPr>
        <w:t>总体布局</w:t>
      </w:r>
      <w:bookmarkEnd w:id="48"/>
    </w:p>
    <w:p w14:paraId="2404F946">
      <w:pPr>
        <w:widowControl/>
        <w:adjustRightInd w:val="0"/>
        <w:ind w:firstLine="560" w:firstLineChars="200"/>
        <w:rPr>
          <w:rFonts w:cs="Times New Roman"/>
          <w:sz w:val="28"/>
          <w:szCs w:val="28"/>
        </w:rPr>
      </w:pPr>
      <w:r>
        <w:rPr>
          <w:rFonts w:hint="eastAsia" w:cs="Times New Roman"/>
          <w:sz w:val="28"/>
          <w:szCs w:val="28"/>
        </w:rPr>
        <w:t>九原区立足于包头市构建“一带一环、南水济北；一核两片、全域一体；多点合力、水活鹿城”的水网空间布局基础下（见图2-2），重点开展昆都仑河九原段、哈德门沟、四道沙河</w:t>
      </w:r>
      <w:r>
        <w:rPr>
          <w:rFonts w:cs="Times New Roman"/>
          <w:sz w:val="28"/>
          <w:szCs w:val="28"/>
        </w:rPr>
        <w:t>流域</w:t>
      </w:r>
      <w:r>
        <w:rPr>
          <w:rFonts w:hint="eastAsia" w:cs="Times New Roman"/>
          <w:sz w:val="28"/>
          <w:szCs w:val="28"/>
        </w:rPr>
        <w:t>城镇防洪排涝减灾；</w:t>
      </w:r>
      <w:r>
        <w:rPr>
          <w:rFonts w:cs="Times New Roman"/>
          <w:sz w:val="28"/>
          <w:szCs w:val="28"/>
        </w:rPr>
        <w:t>根据</w:t>
      </w:r>
      <w:r>
        <w:rPr>
          <w:rFonts w:hint="eastAsia" w:cs="Times New Roman"/>
          <w:sz w:val="28"/>
          <w:szCs w:val="28"/>
        </w:rPr>
        <w:t>九原区区</w:t>
      </w:r>
      <w:r>
        <w:rPr>
          <w:rFonts w:cs="Times New Roman"/>
          <w:sz w:val="28"/>
          <w:szCs w:val="28"/>
        </w:rPr>
        <w:t>域特点，挖掘本地地表水利用潜力，严格控制开采地下水，合理配置黄河水，提升水资源配置保障能力和水旱灾害防御能力，改善河湖生态环境质量</w:t>
      </w:r>
      <w:r>
        <w:rPr>
          <w:rFonts w:hint="eastAsia" w:cs="Times New Roman"/>
          <w:sz w:val="28"/>
          <w:szCs w:val="28"/>
        </w:rPr>
        <w:t>；借助九原区三湖河</w:t>
      </w:r>
      <w:r>
        <w:rPr>
          <w:rFonts w:cs="Times New Roman"/>
          <w:sz w:val="28"/>
          <w:szCs w:val="28"/>
        </w:rPr>
        <w:t>灌区的引水闸、提水泵等为</w:t>
      </w:r>
      <w:r>
        <w:rPr>
          <w:rFonts w:hint="eastAsia" w:cs="Times New Roman"/>
          <w:sz w:val="28"/>
          <w:szCs w:val="28"/>
        </w:rPr>
        <w:t>九原区</w:t>
      </w:r>
      <w:r>
        <w:rPr>
          <w:rFonts w:cs="Times New Roman"/>
          <w:sz w:val="28"/>
          <w:szCs w:val="28"/>
        </w:rPr>
        <w:t>水网的调配节点，增强水网结点对水流的调控能力，打造高品质活水富民水网。</w:t>
      </w:r>
    </w:p>
    <w:p w14:paraId="00D9C9FA">
      <w:pPr>
        <w:pStyle w:val="3"/>
        <w:widowControl/>
        <w:adjustRightInd w:val="0"/>
        <w:spacing w:before="0" w:after="0" w:line="360" w:lineRule="auto"/>
        <w:jc w:val="left"/>
        <w:rPr>
          <w:rFonts w:hint="eastAsia"/>
        </w:rPr>
      </w:pPr>
      <w:bookmarkStart w:id="49" w:name="_Toc198652025"/>
      <w:r>
        <w:rPr>
          <w:rFonts w:ascii="Times New Roman" w:hAnsi="Times New Roman" w:eastAsia="黑体" w:cs="Times New Roman"/>
          <w:b w:val="0"/>
          <w:bCs w:val="0"/>
          <w:kern w:val="0"/>
          <w:sz w:val="28"/>
          <w:szCs w:val="28"/>
        </w:rPr>
        <w:t>2.6主要任务</w:t>
      </w:r>
      <w:bookmarkEnd w:id="49"/>
    </w:p>
    <w:p w14:paraId="3E262781">
      <w:pPr>
        <w:pStyle w:val="4"/>
        <w:widowControl/>
        <w:adjustRightInd w:val="0"/>
        <w:spacing w:before="0" w:after="0" w:line="360" w:lineRule="auto"/>
        <w:jc w:val="left"/>
        <w:rPr>
          <w:rFonts w:eastAsia="黑体" w:cs="Times New Roman"/>
          <w:b w:val="0"/>
          <w:bCs w:val="0"/>
          <w:kern w:val="0"/>
          <w:sz w:val="28"/>
          <w:szCs w:val="28"/>
        </w:rPr>
      </w:pPr>
      <w:bookmarkStart w:id="50" w:name="_Toc198652026"/>
      <w:r>
        <w:rPr>
          <w:rFonts w:hint="eastAsia" w:eastAsia="黑体" w:cs="Times New Roman"/>
          <w:b w:val="0"/>
          <w:bCs w:val="0"/>
          <w:kern w:val="0"/>
          <w:sz w:val="28"/>
          <w:szCs w:val="28"/>
        </w:rPr>
        <w:t>2.6.1节水控水</w:t>
      </w:r>
      <w:bookmarkEnd w:id="50"/>
    </w:p>
    <w:p w14:paraId="7F0D2A07">
      <w:pPr>
        <w:widowControl/>
        <w:adjustRightInd w:val="0"/>
        <w:ind w:firstLine="56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农业节水</w:t>
      </w:r>
    </w:p>
    <w:p w14:paraId="0BAD860E">
      <w:pPr>
        <w:widowControl/>
        <w:adjustRightInd w:val="0"/>
        <w:ind w:firstLine="560" w:firstLineChars="200"/>
        <w:rPr>
          <w:rFonts w:cs="Times New Roman"/>
          <w:b/>
          <w:bCs/>
          <w:sz w:val="28"/>
          <w:szCs w:val="28"/>
        </w:rPr>
      </w:pPr>
      <w:r>
        <w:rPr>
          <w:rFonts w:hint="eastAsia" w:cs="Times New Roman"/>
          <w:sz w:val="28"/>
          <w:szCs w:val="28"/>
        </w:rPr>
        <w:t>九原区农业节水采取综合节水措施，应用高新技术和现代化管理手段，实现输水节水与田间节水相结合、灌溉节水与农艺农耕保墒措施相结合、节灌与现代化农业栽培技术相结合、还要选择耐旱耗水小的品种、旱作区推广化学抗旱剂、保水剂，并与特色、高效农业结合；新型节水技术与传统节灌方式相结合。近期将通过农业灌溉的高效节水技术的大力推广，逐步减少农业用水的比重。</w:t>
      </w:r>
    </w:p>
    <w:p w14:paraId="7208AA56">
      <w:pPr>
        <w:widowControl/>
        <w:adjustRightInd w:val="0"/>
        <w:ind w:firstLine="56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工业节水</w:t>
      </w:r>
    </w:p>
    <w:p w14:paraId="0B81C677">
      <w:pPr>
        <w:widowControl/>
        <w:adjustRightInd w:val="0"/>
        <w:ind w:firstLine="560"/>
        <w:rPr>
          <w:rFonts w:cs="Times New Roman"/>
          <w:sz w:val="28"/>
          <w:szCs w:val="28"/>
        </w:rPr>
      </w:pPr>
      <w:r>
        <w:rPr>
          <w:rFonts w:hint="eastAsia" w:cs="Times New Roman"/>
          <w:sz w:val="28"/>
          <w:szCs w:val="28"/>
        </w:rPr>
        <w:t>九原区加大对现有工业企业的节水技术改造，引进和推进节水型新工艺、新技术，淘汰用水粗放、效率和效益低下的旧工艺与老设备，降低单位产品耗水量；大力发展循环用水系统、回用水资源，对于效益良好、技术比较成熟、污染高的企业要求实施“零排放“生产，不断提高工业用水的重复利用率，不断提高水资源利用效率。</w:t>
      </w:r>
    </w:p>
    <w:p w14:paraId="0D5CC821">
      <w:pPr>
        <w:widowControl/>
        <w:adjustRightInd w:val="0"/>
        <w:ind w:firstLine="56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3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⑶</w:t>
      </w:r>
      <w:r>
        <w:rPr>
          <w:rFonts w:cs="Times New Roman"/>
          <w:sz w:val="28"/>
          <w:szCs w:val="28"/>
        </w:rPr>
        <w:fldChar w:fldCharType="end"/>
      </w:r>
      <w:r>
        <w:rPr>
          <w:rFonts w:hint="eastAsia" w:cs="Times New Roman"/>
          <w:sz w:val="28"/>
          <w:szCs w:val="28"/>
        </w:rPr>
        <w:t>生活节水</w:t>
      </w:r>
    </w:p>
    <w:p w14:paraId="05092464">
      <w:pPr>
        <w:widowControl/>
        <w:adjustRightInd w:val="0"/>
        <w:ind w:firstLine="560"/>
        <w:rPr>
          <w:rFonts w:cs="Times New Roman"/>
          <w:sz w:val="28"/>
          <w:szCs w:val="28"/>
        </w:rPr>
      </w:pPr>
      <w:r>
        <w:rPr>
          <w:rFonts w:hint="eastAsia" w:cs="Times New Roman"/>
          <w:sz w:val="28"/>
          <w:szCs w:val="28"/>
        </w:rPr>
        <w:t>主要有居民生活节水和公共生活节水，采取的主要措施是节水器具的推广和使用，如节水型水龙头、节水型便器系统、节水型淋浴设施等。自来水管网改造，降低管网漏失率，实行计划用水、定额管理，超量加价等措施来达到节约用水的目的。</w:t>
      </w:r>
    </w:p>
    <w:p w14:paraId="6638DD6D">
      <w:pPr>
        <w:widowControl/>
        <w:adjustRightInd w:val="0"/>
        <w:ind w:firstLine="560"/>
        <w:rPr>
          <w:rFonts w:cs="Times New Roman"/>
          <w:b/>
          <w:bCs/>
          <w:sz w:val="28"/>
          <w:szCs w:val="28"/>
        </w:rPr>
      </w:pPr>
      <w:r>
        <w:rPr>
          <w:rFonts w:hint="eastAsia" w:cs="Times New Roman"/>
          <w:b/>
          <w:bCs/>
          <w:sz w:val="28"/>
          <w:szCs w:val="28"/>
        </w:rPr>
        <w:t>规划年主要任务如下：</w:t>
      </w:r>
    </w:p>
    <w:p w14:paraId="019AE84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农业节水工程</w:t>
      </w:r>
    </w:p>
    <w:p w14:paraId="2ECCFCD3">
      <w:pPr>
        <w:widowControl/>
        <w:adjustRightInd w:val="0"/>
        <w:ind w:firstLine="562"/>
        <w:rPr>
          <w:rFonts w:cs="Times New Roman"/>
          <w:sz w:val="28"/>
          <w:szCs w:val="28"/>
        </w:rPr>
      </w:pPr>
      <w:r>
        <w:rPr>
          <w:rFonts w:hint="eastAsia" w:cs="Times New Roman"/>
          <w:sz w:val="28"/>
          <w:szCs w:val="28"/>
        </w:rPr>
        <w:t>①九原区三湖河灌区节水配套与现代化改造项目；</w:t>
      </w:r>
    </w:p>
    <w:p w14:paraId="2D06D398">
      <w:pPr>
        <w:widowControl/>
        <w:adjustRightInd w:val="0"/>
        <w:ind w:firstLine="560" w:firstLineChars="200"/>
        <w:rPr>
          <w:rFonts w:cs="Times New Roman"/>
          <w:sz w:val="28"/>
          <w:szCs w:val="28"/>
        </w:rPr>
      </w:pPr>
      <w:r>
        <w:rPr>
          <w:rFonts w:hint="eastAsia" w:cs="Times New Roman"/>
          <w:sz w:val="28"/>
          <w:szCs w:val="28"/>
        </w:rPr>
        <w:t>②九原区高标准农田建设；</w:t>
      </w:r>
    </w:p>
    <w:p w14:paraId="1180AF44">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工业节水工程</w:t>
      </w:r>
    </w:p>
    <w:p w14:paraId="10D08DF6">
      <w:pPr>
        <w:widowControl/>
        <w:adjustRightInd w:val="0"/>
        <w:ind w:firstLine="560" w:firstLineChars="200"/>
        <w:rPr>
          <w:rFonts w:cs="Times New Roman"/>
          <w:sz w:val="28"/>
          <w:szCs w:val="28"/>
        </w:rPr>
      </w:pPr>
      <w:r>
        <w:rPr>
          <w:rFonts w:hint="eastAsia" w:cs="Times New Roman"/>
          <w:sz w:val="28"/>
          <w:szCs w:val="28"/>
        </w:rPr>
        <w:t>①九原区激光及超声波处理高浓度有机（高盐）废水及危废杂盐项目；</w:t>
      </w:r>
    </w:p>
    <w:p w14:paraId="366ED4C1">
      <w:pPr>
        <w:widowControl/>
        <w:adjustRightInd w:val="0"/>
        <w:ind w:firstLine="560" w:firstLineChars="200"/>
        <w:rPr>
          <w:rFonts w:cs="Times New Roman"/>
          <w:sz w:val="28"/>
          <w:szCs w:val="28"/>
        </w:rPr>
      </w:pPr>
      <w:r>
        <w:rPr>
          <w:rFonts w:hint="eastAsia" w:cs="Times New Roman"/>
          <w:sz w:val="28"/>
          <w:szCs w:val="28"/>
        </w:rPr>
        <w:t>②九原区</w:t>
      </w:r>
      <w:r>
        <w:rPr>
          <w:rFonts w:cs="Times New Roman"/>
          <w:sz w:val="28"/>
          <w:szCs w:val="28"/>
        </w:rPr>
        <w:t>300MW</w:t>
      </w:r>
      <w:r>
        <w:rPr>
          <w:rFonts w:hint="eastAsia" w:cs="Times New Roman"/>
          <w:sz w:val="28"/>
          <w:szCs w:val="28"/>
        </w:rPr>
        <w:t>脱硫废水零排放项目；</w:t>
      </w:r>
    </w:p>
    <w:p w14:paraId="328C0055">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生活节水工程</w:t>
      </w:r>
    </w:p>
    <w:p w14:paraId="69239BFE">
      <w:pPr>
        <w:widowControl/>
        <w:adjustRightInd w:val="0"/>
        <w:ind w:firstLine="560" w:firstLineChars="200"/>
        <w:rPr>
          <w:rFonts w:cs="Times New Roman"/>
          <w:sz w:val="28"/>
          <w:szCs w:val="28"/>
        </w:rPr>
      </w:pPr>
      <w:r>
        <w:rPr>
          <w:rFonts w:hint="eastAsia" w:cs="Times New Roman"/>
          <w:sz w:val="28"/>
          <w:szCs w:val="28"/>
        </w:rPr>
        <w:t>①城镇规划推广使用节水器具1.2万套（水龙头、便器、淋浴设施）。</w:t>
      </w:r>
    </w:p>
    <w:p w14:paraId="1B98AC73">
      <w:pPr>
        <w:pStyle w:val="4"/>
        <w:widowControl/>
        <w:adjustRightInd w:val="0"/>
        <w:spacing w:before="0" w:after="0" w:line="360" w:lineRule="auto"/>
        <w:jc w:val="left"/>
        <w:rPr>
          <w:rFonts w:eastAsia="黑体" w:cs="Times New Roman"/>
          <w:b w:val="0"/>
          <w:bCs w:val="0"/>
          <w:kern w:val="0"/>
          <w:sz w:val="28"/>
          <w:szCs w:val="28"/>
        </w:rPr>
      </w:pPr>
      <w:bookmarkStart w:id="51" w:name="_Toc198652027"/>
      <w:r>
        <w:rPr>
          <w:rFonts w:hint="eastAsia" w:eastAsia="黑体" w:cs="Times New Roman"/>
          <w:b w:val="0"/>
          <w:bCs w:val="0"/>
          <w:kern w:val="0"/>
          <w:sz w:val="28"/>
          <w:szCs w:val="28"/>
        </w:rPr>
        <w:t>2.6.2</w:t>
      </w:r>
      <w:r>
        <w:rPr>
          <w:rFonts w:eastAsia="黑体" w:cs="Times New Roman"/>
          <w:b w:val="0"/>
          <w:bCs w:val="0"/>
          <w:kern w:val="0"/>
          <w:sz w:val="28"/>
          <w:szCs w:val="28"/>
        </w:rPr>
        <w:t>水资源配置与保障</w:t>
      </w:r>
      <w:bookmarkEnd w:id="51"/>
    </w:p>
    <w:p w14:paraId="3906D407">
      <w:pPr>
        <w:widowControl/>
        <w:adjustRightInd w:val="0"/>
        <w:ind w:firstLine="56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供水工程</w:t>
      </w:r>
    </w:p>
    <w:p w14:paraId="5249E998">
      <w:pPr>
        <w:widowControl/>
        <w:adjustRightInd w:val="0"/>
        <w:ind w:firstLine="560" w:firstLineChars="200"/>
        <w:rPr>
          <w:rFonts w:cs="Times New Roman"/>
          <w:sz w:val="28"/>
          <w:szCs w:val="28"/>
        </w:rPr>
      </w:pPr>
      <w:r>
        <w:rPr>
          <w:rFonts w:hint="eastAsia" w:cs="Times New Roman"/>
          <w:sz w:val="28"/>
          <w:szCs w:val="28"/>
        </w:rPr>
        <w:t>九原区计划规模化供水扩建工程3处，规模化供水新建工程共3处，规模化供水接入市政管网工程1处，村网改造工程更新配水管道总长度为339.2km，新建1座主管道加压泵站，规划输水管道共计31km等。</w:t>
      </w:r>
    </w:p>
    <w:p w14:paraId="64561DA7">
      <w:pPr>
        <w:widowControl/>
        <w:adjustRightInd w:val="0"/>
        <w:ind w:firstLine="562" w:firstLineChars="200"/>
        <w:rPr>
          <w:rFonts w:cs="Times New Roman"/>
          <w:b/>
          <w:bCs/>
          <w:sz w:val="28"/>
          <w:szCs w:val="28"/>
        </w:rPr>
      </w:pPr>
      <w:bookmarkStart w:id="52" w:name="_Hlk195867373"/>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饮水工程</w:t>
      </w:r>
    </w:p>
    <w:bookmarkEnd w:id="52"/>
    <w:p w14:paraId="56BC8D19">
      <w:pPr>
        <w:widowControl/>
        <w:adjustRightInd w:val="0"/>
        <w:ind w:firstLine="560" w:firstLineChars="200"/>
        <w:rPr>
          <w:rFonts w:cs="Times New Roman"/>
          <w:sz w:val="28"/>
          <w:szCs w:val="28"/>
        </w:rPr>
      </w:pPr>
      <w:r>
        <w:rPr>
          <w:rFonts w:hint="eastAsia" w:cs="Times New Roman"/>
          <w:sz w:val="28"/>
          <w:szCs w:val="28"/>
        </w:rPr>
        <w:t>水源工程改建项目，包含20处工程，总设计供水规模5664m³/d，受益人口68642人。规划16处水源地保护工程，总受益人口48742人。配套水质净化设施设备7处，总受益人口20492人。配套消毒设备主要包括6处，总受益人口10143人。配套水质化验室主要包括2处，配套水质自动化监测系统主要包括2处。农村供水水质提升项目总受益人口68642人。</w:t>
      </w:r>
    </w:p>
    <w:p w14:paraId="1A7DD479">
      <w:pPr>
        <w:widowControl/>
        <w:adjustRightInd w:val="0"/>
        <w:ind w:firstLine="560" w:firstLineChars="200"/>
        <w:rPr>
          <w:rFonts w:cs="Times New Roman"/>
          <w:sz w:val="28"/>
          <w:szCs w:val="28"/>
        </w:rPr>
      </w:pPr>
      <w:r>
        <w:rPr>
          <w:rFonts w:hint="eastAsia" w:cs="Times New Roman"/>
          <w:sz w:val="28"/>
          <w:szCs w:val="28"/>
        </w:rPr>
        <w:t>①农村牧区供水保障规划</w:t>
      </w:r>
    </w:p>
    <w:p w14:paraId="684CD802">
      <w:pPr>
        <w:widowControl/>
        <w:adjustRightInd w:val="0"/>
        <w:ind w:firstLine="560" w:firstLineChars="200"/>
        <w:rPr>
          <w:rFonts w:cs="Times New Roman"/>
          <w:sz w:val="28"/>
          <w:szCs w:val="28"/>
        </w:rPr>
      </w:pPr>
      <w:r>
        <w:rPr>
          <w:rFonts w:hint="eastAsia" w:cs="Times New Roman"/>
          <w:sz w:val="28"/>
          <w:szCs w:val="28"/>
        </w:rPr>
        <w:t>九原区“十四五”规划总投资为602万元，工程内容为新建供水小站30座，总设计供水规模48.97m³/d，受益人口19586人。</w:t>
      </w:r>
    </w:p>
    <w:p w14:paraId="6707AB74">
      <w:pPr>
        <w:widowControl/>
        <w:adjustRightInd w:val="0"/>
        <w:ind w:firstLine="560" w:firstLineChars="200"/>
        <w:rPr>
          <w:rFonts w:cs="Times New Roman"/>
          <w:sz w:val="28"/>
          <w:szCs w:val="28"/>
        </w:rPr>
      </w:pPr>
      <w:r>
        <w:rPr>
          <w:rFonts w:hint="eastAsia" w:cs="Times New Roman"/>
          <w:sz w:val="28"/>
          <w:szCs w:val="28"/>
        </w:rPr>
        <w:t>②水质提升专项行动实施方案</w:t>
      </w:r>
    </w:p>
    <w:p w14:paraId="2C495C1B">
      <w:pPr>
        <w:widowControl/>
        <w:adjustRightInd w:val="0"/>
        <w:ind w:firstLine="560" w:firstLineChars="200"/>
        <w:rPr>
          <w:rFonts w:cs="Times New Roman"/>
          <w:sz w:val="28"/>
          <w:szCs w:val="28"/>
        </w:rPr>
      </w:pPr>
      <w:r>
        <w:rPr>
          <w:rFonts w:hint="eastAsia" w:cs="Times New Roman"/>
          <w:sz w:val="28"/>
          <w:szCs w:val="28"/>
        </w:rPr>
        <w:t>九原区水质提升专项行动方案水源工程为改建项目，包含20处工程，总设计供水规模5664m³/d，受益人口68642人。规划16处水源地保护工程，总受益人口48742人。配套水质净化设施设备7处，总受益人口20492人。配套消毒设备主要包括6处，总受益人口10143人。配套水质化验室主要包括2处，配套水质自动化监测系统主要包括2处。农村供水水质提升项目总受益人口68642人。</w:t>
      </w:r>
    </w:p>
    <w:p w14:paraId="155F3EEB">
      <w:pPr>
        <w:widowControl/>
        <w:adjustRightInd w:val="0"/>
        <w:ind w:firstLine="560" w:firstLineChars="200"/>
        <w:rPr>
          <w:rFonts w:cs="Times New Roman"/>
          <w:sz w:val="28"/>
          <w:szCs w:val="28"/>
        </w:rPr>
      </w:pPr>
      <w:r>
        <w:rPr>
          <w:rFonts w:hint="eastAsia" w:cs="Times New Roman"/>
          <w:sz w:val="28"/>
          <w:szCs w:val="28"/>
        </w:rPr>
        <w:t>③包头市九原区农村供水高质量发展规划</w:t>
      </w:r>
    </w:p>
    <w:p w14:paraId="01FD7F50">
      <w:pPr>
        <w:widowControl/>
        <w:adjustRightInd w:val="0"/>
        <w:ind w:firstLine="560" w:firstLineChars="200"/>
        <w:rPr>
          <w:rFonts w:cs="Times New Roman"/>
          <w:sz w:val="28"/>
          <w:szCs w:val="28"/>
        </w:rPr>
      </w:pPr>
      <w:r>
        <w:rPr>
          <w:rFonts w:hint="eastAsia" w:cs="Times New Roman"/>
          <w:sz w:val="28"/>
          <w:szCs w:val="28"/>
        </w:rPr>
        <w:t>规划供水人口1.3万人，新增升级改造饮水人口为5.8万人，水质不达标饮水人口0.24万人，其它原因饮水不安全人口0.46万人。</w:t>
      </w:r>
    </w:p>
    <w:p w14:paraId="3A42D987">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农田灌溉</w:t>
      </w:r>
    </w:p>
    <w:p w14:paraId="0A43E124">
      <w:pPr>
        <w:widowControl/>
        <w:adjustRightInd w:val="0"/>
        <w:ind w:firstLine="560" w:firstLineChars="200"/>
        <w:rPr>
          <w:rFonts w:cs="Times New Roman"/>
          <w:sz w:val="28"/>
          <w:szCs w:val="28"/>
        </w:rPr>
      </w:pPr>
      <w:r>
        <w:rPr>
          <w:rFonts w:hint="eastAsia" w:cs="Times New Roman"/>
          <w:sz w:val="28"/>
          <w:szCs w:val="28"/>
        </w:rPr>
        <w:t>以服务乡村振兴战略，保障国家粮食安全和主要农产品有效供给，巩固脱贫攻坚成果为目标，以三湖河中型灌区为抓手，依据乡村振兴、现代化水利、以及现代灌区建管等要求，至2035年，九原区全面构建“设施完善、技术先进、管理科学、用水高效、生态良好、保障有力”的现代化灌溉排水体系。利用骨干、田间、生态及体制机制改革等多项措施，提高灌区用水效率效益，优化配置灌区水土资源，改善灌区生态环境，提升灌区管理服务水平，使灌区健康持续发展、充分发挥综合效益，为现代农业发展和乡村振兴提供水利支撑和保障。</w:t>
      </w:r>
    </w:p>
    <w:p w14:paraId="637BC170">
      <w:pPr>
        <w:pStyle w:val="4"/>
        <w:widowControl/>
        <w:adjustRightInd w:val="0"/>
        <w:spacing w:before="0" w:after="0" w:line="360" w:lineRule="auto"/>
        <w:jc w:val="left"/>
        <w:rPr>
          <w:rFonts w:eastAsia="黑体" w:cs="Times New Roman"/>
          <w:b w:val="0"/>
          <w:bCs w:val="0"/>
          <w:kern w:val="0"/>
          <w:sz w:val="28"/>
          <w:szCs w:val="28"/>
        </w:rPr>
      </w:pPr>
      <w:bookmarkStart w:id="53" w:name="_Toc198652028"/>
      <w:r>
        <w:rPr>
          <w:rFonts w:hint="eastAsia" w:eastAsia="黑体" w:cs="Times New Roman"/>
          <w:b w:val="0"/>
          <w:bCs w:val="0"/>
          <w:kern w:val="0"/>
          <w:sz w:val="28"/>
          <w:szCs w:val="28"/>
        </w:rPr>
        <w:t>2.6.3</w:t>
      </w:r>
      <w:r>
        <w:rPr>
          <w:rFonts w:eastAsia="黑体" w:cs="Times New Roman"/>
          <w:b w:val="0"/>
          <w:bCs w:val="0"/>
          <w:kern w:val="0"/>
          <w:sz w:val="28"/>
          <w:szCs w:val="28"/>
        </w:rPr>
        <w:t>流域防洪排涝减灾</w:t>
      </w:r>
      <w:bookmarkEnd w:id="53"/>
    </w:p>
    <w:p w14:paraId="7F8264EE">
      <w:pPr>
        <w:widowControl/>
        <w:adjustRightInd w:val="0"/>
        <w:ind w:firstLine="56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城镇防洪工程</w:t>
      </w:r>
    </w:p>
    <w:p w14:paraId="4866FE83">
      <w:pPr>
        <w:widowControl/>
        <w:adjustRightInd w:val="0"/>
        <w:ind w:firstLine="560"/>
        <w:rPr>
          <w:rFonts w:cs="Times New Roman"/>
          <w:sz w:val="28"/>
          <w:szCs w:val="28"/>
        </w:rPr>
      </w:pPr>
      <w:r>
        <w:rPr>
          <w:rFonts w:hint="eastAsia" w:cs="Times New Roman"/>
          <w:sz w:val="28"/>
          <w:szCs w:val="28"/>
        </w:rPr>
        <w:t>对城区三条未达标的河沟道进行治理，分别为昆都仑河九原段、哈德门沟、四道沙河。规划2030年治理河道长度为18.065km，新建堤防0.884km，新建护岸1.536km，河道疏浚整治9.542km。</w:t>
      </w:r>
    </w:p>
    <w:p w14:paraId="323ED1C4">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乡村防洪工程</w:t>
      </w:r>
    </w:p>
    <w:p w14:paraId="2F020E71">
      <w:pPr>
        <w:widowControl/>
        <w:adjustRightInd w:val="0"/>
        <w:ind w:firstLine="560" w:firstLineChars="200"/>
        <w:rPr>
          <w:rFonts w:cs="Times New Roman"/>
          <w:sz w:val="28"/>
          <w:szCs w:val="28"/>
        </w:rPr>
      </w:pPr>
      <w:r>
        <w:rPr>
          <w:rFonts w:hint="eastAsia" w:cs="Times New Roman"/>
          <w:sz w:val="28"/>
          <w:szCs w:val="28"/>
        </w:rPr>
        <w:t>开展全区山洪沟多目标系统综合治理，针对九原区地形地质条件复杂、山洪灾害频发的现状，考虑山洪沟所在的地形、地质条件和植被情况，结合保护对象的规模、重要性和防护要求，按照“防、拦、排”的布设原则，以“保护村镇、守点固岸、防冲消能”为目标，通过实施加固或修建护岸、截洪沟、排洪渠、清淤疏浚等治理措施。规划实施山洪沟综合治理6条。对九原区6条山洪沟新建堤防36.281km，加固堤防6.918km，河道疏浚25.091km。</w:t>
      </w:r>
    </w:p>
    <w:p w14:paraId="7CF0CE67">
      <w:pPr>
        <w:widowControl/>
        <w:adjustRightInd w:val="0"/>
        <w:ind w:firstLine="560" w:firstLineChars="200"/>
        <w:rPr>
          <w:rFonts w:cs="Times New Roman"/>
          <w:sz w:val="28"/>
          <w:szCs w:val="28"/>
        </w:rPr>
      </w:pPr>
      <w:r>
        <w:rPr>
          <w:rFonts w:hint="eastAsia" w:cs="Times New Roman"/>
          <w:sz w:val="28"/>
          <w:szCs w:val="28"/>
        </w:rPr>
        <w:t>2026-2035年对九原区哈德门沟左岸新建堤防1.934km，左岸加固堤防3.459km，右岸新建堤防5.474km，右岸加固堤防3.459km，河道疏浚8.933km；梅力更沟新建堤防左右岸各7.149km，河道疏浚7.149km；乌兰不浪沟新建堤防左右岸各2.856km，河道疏浚2.856km；大坝沟新建堤防左右岸各2.71km，河道疏浚2.71km；白石头沟新建堤防左右岸各2.943km，河道疏浚2.943km；虎贲亥沟左岸新建堤防0.5km，河道疏浚0.5km。</w:t>
      </w:r>
    </w:p>
    <w:p w14:paraId="1A982FBC">
      <w:pPr>
        <w:pStyle w:val="4"/>
        <w:widowControl/>
        <w:adjustRightInd w:val="0"/>
        <w:spacing w:before="0" w:after="0" w:line="360" w:lineRule="auto"/>
        <w:jc w:val="left"/>
      </w:pPr>
      <w:bookmarkStart w:id="54" w:name="_Toc198652029"/>
      <w:r>
        <w:rPr>
          <w:rFonts w:hint="eastAsia" w:eastAsia="黑体" w:cs="Times New Roman"/>
          <w:b w:val="0"/>
          <w:bCs w:val="0"/>
          <w:kern w:val="0"/>
          <w:sz w:val="28"/>
          <w:szCs w:val="28"/>
        </w:rPr>
        <w:t>2.6.4</w:t>
      </w:r>
      <w:r>
        <w:rPr>
          <w:rFonts w:eastAsia="黑体" w:cs="Times New Roman"/>
          <w:b w:val="0"/>
          <w:bCs w:val="0"/>
          <w:kern w:val="0"/>
          <w:sz w:val="28"/>
          <w:szCs w:val="28"/>
        </w:rPr>
        <w:t>水生态保护治理</w:t>
      </w:r>
      <w:bookmarkEnd w:id="54"/>
    </w:p>
    <w:p w14:paraId="399EF9DF">
      <w:pPr>
        <w:widowControl/>
        <w:adjustRightInd w:val="0"/>
        <w:ind w:firstLine="560" w:firstLineChars="200"/>
        <w:rPr>
          <w:rFonts w:cs="Times New Roman"/>
          <w:sz w:val="28"/>
          <w:szCs w:val="28"/>
        </w:rPr>
      </w:pPr>
      <w:r>
        <w:rPr>
          <w:rFonts w:hint="eastAsia" w:cs="Times New Roman"/>
          <w:sz w:val="28"/>
          <w:szCs w:val="28"/>
        </w:rPr>
        <w:t>坚持以流域为单元，以河湖水系为脉络，以“河安湖晏、水清鱼跃、岸绿景美、宜居宜业”为目标，统筹推进水灾害防治、水资源节约、水生态保护修复、水环境治理，将经济社会发展与河湖保护治理深度融合，建立健全河湖生态产品价值实现机制，推动河湖生态优势、资源优势向发展优势、经济优势转化。针对九原区目前城镇及主要河道环境污染现状，按照建设生态型城镇的要求和节水型社会的总体目标，按照水质执行标准，确定治理任务。</w:t>
      </w:r>
    </w:p>
    <w:p w14:paraId="7C12CA63">
      <w:pPr>
        <w:widowControl/>
        <w:adjustRightInd w:val="0"/>
        <w:ind w:firstLine="560"/>
        <w:rPr>
          <w:rFonts w:cs="Times New Roman"/>
          <w:b/>
          <w:bCs/>
          <w:sz w:val="28"/>
          <w:szCs w:val="28"/>
        </w:rPr>
      </w:pPr>
      <w:r>
        <w:rPr>
          <w:rFonts w:hint="eastAsia" w:cs="Times New Roman"/>
          <w:b/>
          <w:bCs/>
          <w:sz w:val="28"/>
          <w:szCs w:val="28"/>
        </w:rPr>
        <w:t>①水源地保护工程</w:t>
      </w:r>
    </w:p>
    <w:p w14:paraId="5C5BE71D">
      <w:pPr>
        <w:widowControl/>
        <w:adjustRightInd w:val="0"/>
        <w:ind w:firstLine="560" w:firstLineChars="200"/>
        <w:rPr>
          <w:rFonts w:cs="Times New Roman"/>
          <w:sz w:val="28"/>
          <w:szCs w:val="28"/>
        </w:rPr>
      </w:pPr>
      <w:r>
        <w:rPr>
          <w:rFonts w:hint="eastAsia" w:cs="Times New Roman"/>
          <w:sz w:val="28"/>
          <w:szCs w:val="28"/>
        </w:rPr>
        <w:t>根据九原区的具体情况，水环境治理和保护重要是污水处理工程、水质监测设备和水源保护工程等。</w:t>
      </w:r>
    </w:p>
    <w:p w14:paraId="64C20B80">
      <w:pPr>
        <w:widowControl/>
        <w:adjustRightInd w:val="0"/>
        <w:ind w:firstLine="562" w:firstLineChars="200"/>
        <w:rPr>
          <w:rFonts w:cs="Times New Roman"/>
          <w:b/>
          <w:bCs/>
          <w:sz w:val="28"/>
          <w:szCs w:val="28"/>
        </w:rPr>
      </w:pPr>
      <w:r>
        <w:rPr>
          <w:rFonts w:hint="eastAsia" w:cs="Times New Roman"/>
          <w:b/>
          <w:bCs/>
          <w:sz w:val="28"/>
          <w:szCs w:val="28"/>
        </w:rPr>
        <w:t>②小流域综合治理工程</w:t>
      </w:r>
    </w:p>
    <w:p w14:paraId="12346276">
      <w:pPr>
        <w:widowControl/>
        <w:adjustRightInd w:val="0"/>
        <w:ind w:firstLine="560" w:firstLineChars="200"/>
        <w:rPr>
          <w:rFonts w:cs="Times New Roman"/>
          <w:sz w:val="28"/>
          <w:szCs w:val="28"/>
        </w:rPr>
      </w:pPr>
      <w:r>
        <w:rPr>
          <w:rFonts w:hint="eastAsia" w:cs="Times New Roman"/>
          <w:sz w:val="28"/>
          <w:szCs w:val="28"/>
        </w:rPr>
        <w:t>水土保持治理规划小流域综合治理工程治理水土流失面积</w:t>
      </w:r>
      <w:r>
        <w:rPr>
          <w:rFonts w:cs="Times New Roman"/>
          <w:sz w:val="28"/>
          <w:szCs w:val="28"/>
        </w:rPr>
        <w:t>180km</w:t>
      </w:r>
      <w:r>
        <w:rPr>
          <w:rFonts w:hint="eastAsia" w:cs="Times New Roman"/>
          <w:sz w:val="28"/>
          <w:szCs w:val="28"/>
          <w:vertAlign w:val="superscript"/>
        </w:rPr>
        <w:t>2</w:t>
      </w:r>
      <w:r>
        <w:rPr>
          <w:rFonts w:hint="eastAsia" w:cs="Times New Roman"/>
          <w:sz w:val="28"/>
          <w:szCs w:val="28"/>
        </w:rPr>
        <w:t>，规划2035年之后完成建设内容。</w:t>
      </w:r>
    </w:p>
    <w:p w14:paraId="63663410">
      <w:pPr>
        <w:pStyle w:val="4"/>
        <w:widowControl/>
        <w:adjustRightInd w:val="0"/>
        <w:spacing w:before="0" w:after="0" w:line="360" w:lineRule="auto"/>
        <w:jc w:val="left"/>
      </w:pPr>
      <w:bookmarkStart w:id="55" w:name="_Toc198652030"/>
      <w:r>
        <w:rPr>
          <w:rFonts w:hint="eastAsia" w:eastAsia="黑体" w:cs="Times New Roman"/>
          <w:b w:val="0"/>
          <w:bCs w:val="0"/>
          <w:kern w:val="0"/>
          <w:sz w:val="28"/>
          <w:szCs w:val="28"/>
        </w:rPr>
        <w:t>2.6.5</w:t>
      </w:r>
      <w:r>
        <w:rPr>
          <w:rFonts w:eastAsia="黑体" w:cs="Times New Roman"/>
          <w:b w:val="0"/>
          <w:bCs w:val="0"/>
          <w:kern w:val="0"/>
          <w:sz w:val="28"/>
          <w:szCs w:val="28"/>
        </w:rPr>
        <w:t>数字孪生水网建设</w:t>
      </w:r>
      <w:bookmarkEnd w:id="55"/>
    </w:p>
    <w:p w14:paraId="379283B6">
      <w:pPr>
        <w:widowControl/>
        <w:adjustRightInd w:val="0"/>
        <w:ind w:firstLine="560" w:firstLineChars="200"/>
        <w:rPr>
          <w:rFonts w:cs="Times New Roman"/>
          <w:sz w:val="28"/>
          <w:szCs w:val="28"/>
        </w:rPr>
      </w:pPr>
      <w:r>
        <w:rPr>
          <w:rFonts w:hint="eastAsia" w:cs="Times New Roman"/>
          <w:sz w:val="28"/>
          <w:szCs w:val="28"/>
        </w:rPr>
        <w:t>规划建旱情墒情测试点20个，雨情讯情测报点20个，水保监测点10个，建立水利工程建设管理信息库和水利电子政务平台。</w:t>
      </w:r>
    </w:p>
    <w:p w14:paraId="752607BC">
      <w:pPr>
        <w:widowControl/>
        <w:adjustRightInd w:val="0"/>
        <w:ind w:firstLine="560" w:firstLineChars="200"/>
        <w:rPr>
          <w:rFonts w:cs="Times New Roman"/>
          <w:sz w:val="28"/>
          <w:szCs w:val="28"/>
        </w:rPr>
      </w:pPr>
      <w:r>
        <w:rPr>
          <w:rFonts w:hint="eastAsia" w:cs="Times New Roman"/>
          <w:sz w:val="28"/>
          <w:szCs w:val="28"/>
        </w:rPr>
        <w:t>规划三湖河灌区、小型井机电井灌区建水质、水量、水位自动监测设备系统及观测井安装实时在线自动观测传输设备。对安全饮水工程实现饮水管网的智能管理与控制。</w:t>
      </w:r>
    </w:p>
    <w:p w14:paraId="211D9D1D">
      <w:pPr>
        <w:widowControl/>
        <w:adjustRightInd w:val="0"/>
        <w:ind w:firstLine="560" w:firstLineChars="200"/>
      </w:pPr>
      <w:r>
        <w:rPr>
          <w:rFonts w:hint="eastAsia" w:cs="Times New Roman"/>
          <w:sz w:val="28"/>
          <w:szCs w:val="28"/>
        </w:rPr>
        <w:t>建立水资源实时监控系统，对地下水的水量、水位、水质进行监测，对地表水的水量、水质进行监测，及时准确掌握水资源利用情况、变化动态等情况，实现对水资源的正确评价和合理调度及有效控制的目的。监测手段采用水资源监控终端和GPRS/CDMA微功耗测终端。利用既有的GPRS/CDMA无线网络平台进行建设。</w:t>
      </w:r>
    </w:p>
    <w:p w14:paraId="04292657">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56" w:name="_Toc198652031"/>
      <w:r>
        <w:rPr>
          <w:rFonts w:ascii="Times New Roman" w:hAnsi="Times New Roman" w:eastAsia="黑体" w:cs="Times New Roman"/>
          <w:b w:val="0"/>
          <w:bCs w:val="0"/>
          <w:kern w:val="0"/>
          <w:sz w:val="28"/>
          <w:szCs w:val="28"/>
        </w:rPr>
        <w:t>2.7水网协同融合发展</w:t>
      </w:r>
      <w:bookmarkEnd w:id="56"/>
    </w:p>
    <w:p w14:paraId="3B630ABF">
      <w:pPr>
        <w:widowControl/>
        <w:adjustRightInd w:val="0"/>
        <w:ind w:firstLine="560" w:firstLineChars="200"/>
        <w:rPr>
          <w:rFonts w:cs="Times New Roman"/>
          <w:sz w:val="28"/>
          <w:szCs w:val="28"/>
        </w:rPr>
      </w:pPr>
      <w:r>
        <w:rPr>
          <w:rFonts w:hint="eastAsia" w:cs="Times New Roman"/>
          <w:sz w:val="28"/>
          <w:szCs w:val="28"/>
        </w:rPr>
        <w:t>根据水利管理权限和分级管理要求，水网分为国家骨干网、自治区级水网、市级水网、县级水网。自治区级水网依托国家骨干网，以自治区内骨干河湖水系及重大水利基础设施为主骨架，构建与国家骨干水网相衔接的水流网络通道与调配网络。市级、县（区）级水网是国家骨干网和自治区级水网的延伸。</w:t>
      </w:r>
    </w:p>
    <w:p w14:paraId="1035DAD5">
      <w:pPr>
        <w:widowControl/>
        <w:adjustRightInd w:val="0"/>
        <w:ind w:firstLine="560" w:firstLineChars="200"/>
        <w:rPr>
          <w:rFonts w:cs="Times New Roman"/>
          <w:sz w:val="28"/>
          <w:szCs w:val="28"/>
        </w:rPr>
      </w:pPr>
      <w:r>
        <w:rPr>
          <w:rFonts w:cs="Times New Roman"/>
          <w:sz w:val="28"/>
          <w:szCs w:val="28"/>
        </w:rPr>
        <w:t>上承</w:t>
      </w:r>
      <w:r>
        <w:rPr>
          <w:rFonts w:hint="eastAsia" w:cs="Times New Roman"/>
          <w:sz w:val="28"/>
          <w:szCs w:val="28"/>
        </w:rPr>
        <w:t>包头市</w:t>
      </w:r>
      <w:r>
        <w:rPr>
          <w:rFonts w:cs="Times New Roman"/>
          <w:sz w:val="28"/>
          <w:szCs w:val="28"/>
        </w:rPr>
        <w:t>水网。黄河干流</w:t>
      </w:r>
      <w:r>
        <w:rPr>
          <w:rFonts w:hint="eastAsia" w:cs="Times New Roman"/>
          <w:sz w:val="28"/>
          <w:szCs w:val="28"/>
        </w:rPr>
        <w:t>九原区段</w:t>
      </w:r>
      <w:r>
        <w:rPr>
          <w:rFonts w:cs="Times New Roman"/>
          <w:sz w:val="28"/>
          <w:szCs w:val="28"/>
        </w:rPr>
        <w:t>，是</w:t>
      </w:r>
      <w:r>
        <w:rPr>
          <w:rFonts w:hint="eastAsia" w:cs="Times New Roman"/>
          <w:sz w:val="28"/>
          <w:szCs w:val="28"/>
        </w:rPr>
        <w:t>包头</w:t>
      </w:r>
      <w:r>
        <w:rPr>
          <w:rFonts w:cs="Times New Roman"/>
          <w:sz w:val="28"/>
          <w:szCs w:val="28"/>
        </w:rPr>
        <w:t>水网的重要天然江河通道，在水网建设中具有举足轻重的地位。加强黄河干流河道</w:t>
      </w:r>
      <w:r>
        <w:rPr>
          <w:rFonts w:hint="eastAsia" w:cs="Times New Roman"/>
          <w:sz w:val="28"/>
          <w:szCs w:val="28"/>
        </w:rPr>
        <w:t>九原区段</w:t>
      </w:r>
      <w:r>
        <w:rPr>
          <w:rFonts w:cs="Times New Roman"/>
          <w:sz w:val="28"/>
          <w:szCs w:val="28"/>
        </w:rPr>
        <w:t>综合治理，构建绿色生态廊道，充分发挥</w:t>
      </w:r>
      <w:r>
        <w:rPr>
          <w:rFonts w:hint="eastAsia" w:cs="Times New Roman"/>
          <w:sz w:val="28"/>
          <w:szCs w:val="28"/>
        </w:rPr>
        <w:t>包头市</w:t>
      </w:r>
      <w:r>
        <w:rPr>
          <w:rFonts w:cs="Times New Roman"/>
          <w:sz w:val="28"/>
          <w:szCs w:val="28"/>
        </w:rPr>
        <w:t>重要江河干流的行洪、输水、生态等综合功能；通过区域内新建、续建供水工程，加快构建</w:t>
      </w:r>
      <w:r>
        <w:rPr>
          <w:rFonts w:hint="eastAsia" w:cs="Times New Roman"/>
          <w:sz w:val="28"/>
          <w:szCs w:val="28"/>
        </w:rPr>
        <w:t>九原区</w:t>
      </w:r>
      <w:r>
        <w:rPr>
          <w:rFonts w:cs="Times New Roman"/>
          <w:sz w:val="28"/>
          <w:szCs w:val="28"/>
        </w:rPr>
        <w:t>水网主骨架，进一步支撑完善</w:t>
      </w:r>
      <w:r>
        <w:rPr>
          <w:rFonts w:hint="eastAsia" w:cs="Times New Roman"/>
          <w:sz w:val="28"/>
          <w:szCs w:val="28"/>
        </w:rPr>
        <w:t>包头市</w:t>
      </w:r>
      <w:r>
        <w:rPr>
          <w:rFonts w:cs="Times New Roman"/>
          <w:sz w:val="28"/>
          <w:szCs w:val="28"/>
        </w:rPr>
        <w:t>水网总体布局。</w:t>
      </w:r>
    </w:p>
    <w:p w14:paraId="1FA5E14B">
      <w:pPr>
        <w:widowControl/>
        <w:adjustRightInd w:val="0"/>
        <w:ind w:firstLine="560" w:firstLineChars="200"/>
        <w:rPr>
          <w:rFonts w:cs="Times New Roman"/>
          <w:sz w:val="28"/>
          <w:szCs w:val="28"/>
        </w:rPr>
      </w:pPr>
      <w:r>
        <w:rPr>
          <w:rFonts w:hint="eastAsia" w:cs="Times New Roman"/>
          <w:sz w:val="28"/>
          <w:szCs w:val="28"/>
        </w:rPr>
        <w:t>外</w:t>
      </w:r>
      <w:r>
        <w:rPr>
          <w:rFonts w:cs="Times New Roman"/>
          <w:sz w:val="28"/>
          <w:szCs w:val="28"/>
        </w:rPr>
        <w:t>衔</w:t>
      </w:r>
      <w:r>
        <w:rPr>
          <w:rFonts w:hint="eastAsia" w:cs="Times New Roman"/>
          <w:sz w:val="28"/>
          <w:szCs w:val="28"/>
        </w:rPr>
        <w:t>领域</w:t>
      </w:r>
      <w:r>
        <w:rPr>
          <w:rFonts w:cs="Times New Roman"/>
          <w:sz w:val="28"/>
          <w:szCs w:val="28"/>
        </w:rPr>
        <w:t>水网。</w:t>
      </w:r>
      <w:r>
        <w:rPr>
          <w:rFonts w:hint="eastAsia" w:cs="Times New Roman"/>
          <w:sz w:val="28"/>
          <w:szCs w:val="28"/>
        </w:rPr>
        <w:t>统筹考虑周边旗区与九原区的联系情况和工程条件，加强九原区水网与相邻旗区水网上下游衔接，实现互联互通，协同提升包头水网和区域水网水安全保障能力。加强与</w:t>
      </w:r>
      <w:r>
        <w:rPr>
          <w:rFonts w:cs="Times New Roman"/>
          <w:sz w:val="28"/>
          <w:szCs w:val="28"/>
        </w:rPr>
        <w:t>东河区、石拐区，昆都仑区、青山区</w:t>
      </w:r>
      <w:r>
        <w:rPr>
          <w:rFonts w:hint="eastAsia" w:cs="Times New Roman"/>
          <w:sz w:val="28"/>
          <w:szCs w:val="28"/>
        </w:rPr>
        <w:t>、</w:t>
      </w:r>
      <w:r>
        <w:rPr>
          <w:rFonts w:cs="Times New Roman"/>
          <w:sz w:val="28"/>
          <w:szCs w:val="28"/>
        </w:rPr>
        <w:t>乌拉特前旗</w:t>
      </w:r>
      <w:r>
        <w:rPr>
          <w:rFonts w:hint="eastAsia" w:cs="Times New Roman"/>
          <w:sz w:val="28"/>
          <w:szCs w:val="28"/>
        </w:rPr>
        <w:t>和</w:t>
      </w:r>
      <w:r>
        <w:rPr>
          <w:rFonts w:cs="Times New Roman"/>
          <w:sz w:val="28"/>
          <w:szCs w:val="28"/>
        </w:rPr>
        <w:t>达拉特旗</w:t>
      </w:r>
      <w:r>
        <w:rPr>
          <w:rFonts w:hint="eastAsia" w:cs="Times New Roman"/>
          <w:sz w:val="28"/>
          <w:szCs w:val="28"/>
        </w:rPr>
        <w:t>等协调水资源开发利用、生态流量保障方案实施路径、断面水质监测，确保黄河九原区段水质安全和生态安全。</w:t>
      </w:r>
    </w:p>
    <w:p w14:paraId="794A4943">
      <w:pPr>
        <w:widowControl/>
        <w:adjustRightInd w:val="0"/>
        <w:ind w:firstLine="560" w:firstLineChars="200"/>
        <w:rPr>
          <w:rFonts w:cs="Times New Roman"/>
          <w:sz w:val="28"/>
          <w:szCs w:val="28"/>
        </w:rPr>
      </w:pPr>
      <w:r>
        <w:rPr>
          <w:rFonts w:cs="Times New Roman"/>
          <w:sz w:val="28"/>
          <w:szCs w:val="28"/>
        </w:rPr>
        <w:t>功能衔接融合。</w:t>
      </w:r>
      <w:bookmarkStart w:id="57" w:name="_Hlk182321538"/>
      <w:bookmarkStart w:id="58" w:name="_Toc134212726"/>
      <w:r>
        <w:rPr>
          <w:rFonts w:hint="eastAsia" w:cs="Times New Roman"/>
          <w:sz w:val="28"/>
          <w:szCs w:val="28"/>
        </w:rPr>
        <w:t>要依托上级水网的调控作用，加强与上级骨干网互连互通，补齐中小水利工程短板和薄弱环节。加强水源工程、输配水工程建设之间互联互通，提高供水保障水平；推进城镇供水管网向农村延伸，构建“城乡一体，末端畅通”的水网基础通道，实现城乡供水一体化；完善防洪排涝安全保障体系。为保障人民群众生命财产安全、实现乡村振兴奠定坚实的水安全保障。</w:t>
      </w:r>
    </w:p>
    <w:p w14:paraId="794DD4D2">
      <w:pPr>
        <w:widowControl/>
        <w:adjustRightInd w:val="0"/>
        <w:ind w:firstLine="560" w:firstLineChars="200"/>
        <w:rPr>
          <w:rFonts w:cs="Times New Roman"/>
          <w:sz w:val="28"/>
          <w:szCs w:val="28"/>
        </w:rPr>
      </w:pPr>
    </w:p>
    <w:p w14:paraId="742F7A16">
      <w:pPr>
        <w:widowControl/>
        <w:adjustRightInd w:val="0"/>
        <w:ind w:firstLine="560" w:firstLineChars="200"/>
        <w:rPr>
          <w:rFonts w:cs="Times New Roman"/>
          <w:sz w:val="28"/>
          <w:szCs w:val="28"/>
        </w:rPr>
      </w:pPr>
    </w:p>
    <w:p w14:paraId="25A9AC78">
      <w:pPr>
        <w:widowControl/>
        <w:adjustRightInd w:val="0"/>
        <w:ind w:firstLine="560" w:firstLineChars="200"/>
        <w:rPr>
          <w:rFonts w:cs="Times New Roman"/>
          <w:sz w:val="28"/>
          <w:szCs w:val="28"/>
        </w:rPr>
      </w:pPr>
    </w:p>
    <w:p w14:paraId="6BF08558">
      <w:pPr>
        <w:widowControl/>
        <w:adjustRightInd w:val="0"/>
        <w:ind w:firstLine="562" w:firstLineChars="200"/>
        <w:rPr>
          <w:rFonts w:eastAsia="黑体" w:cs="Times New Roman"/>
          <w:b/>
          <w:bCs/>
          <w:kern w:val="0"/>
          <w:sz w:val="28"/>
          <w:szCs w:val="28"/>
        </w:rPr>
        <w:sectPr>
          <w:headerReference r:id="rId10" w:type="default"/>
          <w:pgSz w:w="11906" w:h="16838"/>
          <w:pgMar w:top="1440" w:right="1800" w:bottom="1440" w:left="1800" w:header="851" w:footer="992" w:gutter="0"/>
          <w:cols w:space="425" w:num="1"/>
          <w:docGrid w:type="lines" w:linePitch="312" w:charSpace="0"/>
        </w:sectPr>
      </w:pPr>
    </w:p>
    <w:p w14:paraId="523D53B0">
      <w:pPr>
        <w:pStyle w:val="2"/>
        <w:widowControl/>
        <w:adjustRightInd w:val="0"/>
        <w:spacing w:before="0" w:after="0" w:line="360" w:lineRule="auto"/>
        <w:jc w:val="left"/>
        <w:rPr>
          <w:rFonts w:eastAsia="黑体" w:cs="Times New Roman"/>
          <w:b w:val="0"/>
          <w:bCs w:val="0"/>
          <w:sz w:val="32"/>
          <w:szCs w:val="48"/>
        </w:rPr>
      </w:pPr>
      <w:bookmarkStart w:id="59" w:name="_Toc198652032"/>
      <w:r>
        <w:rPr>
          <w:rFonts w:hint="eastAsia" w:eastAsia="黑体" w:cs="Times New Roman"/>
          <w:b w:val="0"/>
          <w:bCs w:val="0"/>
          <w:sz w:val="32"/>
          <w:szCs w:val="48"/>
        </w:rPr>
        <w:t>3构建防洪排涝网</w:t>
      </w:r>
      <w:bookmarkEnd w:id="59"/>
    </w:p>
    <w:p w14:paraId="15C0728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60" w:name="_Toc127266585"/>
      <w:bookmarkStart w:id="61" w:name="_Toc198652033"/>
      <w:bookmarkStart w:id="62" w:name="_Toc109750832"/>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.1基本思路</w:t>
      </w:r>
      <w:bookmarkEnd w:id="60"/>
      <w:bookmarkEnd w:id="61"/>
      <w:bookmarkEnd w:id="62"/>
    </w:p>
    <w:p w14:paraId="12F6C551">
      <w:pPr>
        <w:widowControl/>
        <w:adjustRightInd w:val="0"/>
        <w:ind w:firstLine="560" w:firstLineChars="200"/>
        <w:rPr>
          <w:rFonts w:cs="Times New Roman"/>
          <w:sz w:val="28"/>
          <w:szCs w:val="28"/>
        </w:rPr>
      </w:pPr>
      <w:r>
        <w:rPr>
          <w:rFonts w:hint="eastAsia" w:cs="Times New Roman"/>
          <w:sz w:val="28"/>
          <w:szCs w:val="28"/>
        </w:rPr>
        <w:t>基于九原区自然地理特点，结合流域洪水特点和经济社会发展的新要求，按照“蓄泄兼筹、以泄为主”的防洪工程布局，</w:t>
      </w:r>
      <w:r>
        <w:rPr>
          <w:rFonts w:cs="Times New Roman"/>
          <w:sz w:val="28"/>
          <w:szCs w:val="28"/>
        </w:rPr>
        <w:t>顺应</w:t>
      </w:r>
      <w:r>
        <w:rPr>
          <w:rFonts w:hint="eastAsia" w:cs="Times New Roman"/>
          <w:sz w:val="28"/>
          <w:szCs w:val="28"/>
        </w:rPr>
        <w:t>黄河、昆都仑河和四道沙河九原区</w:t>
      </w:r>
      <w:r>
        <w:rPr>
          <w:rFonts w:cs="Times New Roman"/>
          <w:sz w:val="28"/>
          <w:szCs w:val="28"/>
        </w:rPr>
        <w:t>段河流河势和洪水自然特性，统筹考虑</w:t>
      </w:r>
      <w:r>
        <w:rPr>
          <w:rFonts w:hint="eastAsia" w:cs="Times New Roman"/>
          <w:sz w:val="28"/>
          <w:szCs w:val="28"/>
        </w:rPr>
        <w:t>上</w:t>
      </w:r>
      <w:r>
        <w:rPr>
          <w:rFonts w:cs="Times New Roman"/>
          <w:sz w:val="28"/>
          <w:szCs w:val="28"/>
        </w:rPr>
        <w:t>下游蓄泄关系，提高洪水滞蓄能力，畅通洪水行洪通道</w:t>
      </w:r>
      <w:r>
        <w:rPr>
          <w:rFonts w:hint="eastAsia" w:cs="Times New Roman"/>
          <w:sz w:val="28"/>
          <w:szCs w:val="28"/>
        </w:rPr>
        <w:t>；</w:t>
      </w:r>
      <w:r>
        <w:rPr>
          <w:rFonts w:cs="Times New Roman"/>
          <w:sz w:val="28"/>
          <w:szCs w:val="28"/>
        </w:rPr>
        <w:t>坚持防治结合、因地制宜、工程与非工程措施并重、防汛与生态兼顾的原则，补齐黄河防凌防汛、山洪沟防洪体系短板，全域因地制宜完善河道综合整治工程，全方位提高“四预”与智慧调度水平，提高雨洪资源化利用水平，完善各类超标准防汛预案，强化洪水风险管控能力建设，确保城市、乡镇、基础设施防洪安全</w:t>
      </w:r>
      <w:r>
        <w:rPr>
          <w:rFonts w:hint="eastAsia" w:cs="Times New Roman"/>
          <w:sz w:val="28"/>
          <w:szCs w:val="28"/>
        </w:rPr>
        <w:t>；补工程短板，以完善九原区防洪体系为重点，不断增强水安全保障能力，支撑九原区的经济建设。</w:t>
      </w:r>
    </w:p>
    <w:p w14:paraId="1FFC7C36">
      <w:pPr>
        <w:widowControl/>
        <w:adjustRightInd w:val="0"/>
        <w:ind w:firstLine="560" w:firstLineChars="200"/>
        <w:rPr>
          <w:rFonts w:cs="Times New Roman"/>
          <w:sz w:val="28"/>
          <w:szCs w:val="28"/>
        </w:rPr>
      </w:pPr>
      <w:r>
        <w:rPr>
          <w:rFonts w:hint="eastAsia" w:cs="Times New Roman"/>
          <w:sz w:val="28"/>
          <w:szCs w:val="28"/>
        </w:rPr>
        <w:t>到2035年，</w:t>
      </w:r>
      <w:r>
        <w:rPr>
          <w:rFonts w:cs="Times New Roman"/>
          <w:sz w:val="28"/>
          <w:szCs w:val="28"/>
        </w:rPr>
        <w:t>根据</w:t>
      </w:r>
      <w:r>
        <w:rPr>
          <w:rFonts w:hint="eastAsia" w:cs="Times New Roman"/>
          <w:sz w:val="28"/>
          <w:szCs w:val="28"/>
        </w:rPr>
        <w:t>九原区</w:t>
      </w:r>
      <w:r>
        <w:rPr>
          <w:rFonts w:cs="Times New Roman"/>
          <w:sz w:val="28"/>
          <w:szCs w:val="28"/>
        </w:rPr>
        <w:t>河流水系及洪水特性，在深入分析现状防洪排涝减灾问题的基础上，衔接</w:t>
      </w:r>
      <w:r>
        <w:rPr>
          <w:rFonts w:hint="eastAsia" w:cs="Times New Roman"/>
          <w:sz w:val="28"/>
          <w:szCs w:val="28"/>
        </w:rPr>
        <w:t>包头市</w:t>
      </w:r>
      <w:r>
        <w:rPr>
          <w:rFonts w:cs="Times New Roman"/>
          <w:sz w:val="28"/>
          <w:szCs w:val="28"/>
        </w:rPr>
        <w:t>水网及《黄河流域防洪规划》中包头市防洪有关要求，统筹安排黄河</w:t>
      </w:r>
      <w:r>
        <w:rPr>
          <w:rFonts w:hint="eastAsia" w:cs="Times New Roman"/>
          <w:sz w:val="28"/>
          <w:szCs w:val="28"/>
        </w:rPr>
        <w:t>九原区</w:t>
      </w:r>
      <w:r>
        <w:rPr>
          <w:rFonts w:cs="Times New Roman"/>
          <w:sz w:val="28"/>
          <w:szCs w:val="28"/>
        </w:rPr>
        <w:t>段防洪体系建设、主要支流、中小河流及山洪沟系统治理、防洪控制性枢纽工程建设、城市排涝体系建设、洪涝风险综合防治等防洪措施，构建由水库、滞洪区、河道及堤防（护岸）、智慧化调度管理组成的现代化防洪体系</w:t>
      </w:r>
      <w:r>
        <w:rPr>
          <w:rFonts w:hint="eastAsia" w:cs="Times New Roman"/>
          <w:sz w:val="28"/>
          <w:szCs w:val="28"/>
        </w:rPr>
        <w:t>。</w:t>
      </w:r>
    </w:p>
    <w:p w14:paraId="45CD0A84">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63" w:name="_Toc198652034"/>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w:t>
      </w:r>
      <w:r>
        <w:rPr>
          <w:rFonts w:hint="eastAsia" w:ascii="Times New Roman" w:hAnsi="Times New Roman" w:eastAsia="黑体" w:cs="Times New Roman"/>
          <w:b w:val="0"/>
          <w:bCs w:val="0"/>
          <w:kern w:val="0"/>
          <w:sz w:val="28"/>
          <w:szCs w:val="28"/>
        </w:rPr>
        <w:t>2</w:t>
      </w:r>
      <w:r>
        <w:rPr>
          <w:rFonts w:ascii="Times New Roman" w:hAnsi="Times New Roman" w:eastAsia="黑体" w:cs="Times New Roman"/>
          <w:b w:val="0"/>
          <w:bCs w:val="0"/>
          <w:kern w:val="0"/>
          <w:sz w:val="28"/>
          <w:szCs w:val="28"/>
        </w:rPr>
        <w:t>确定防洪标准</w:t>
      </w:r>
      <w:r>
        <w:rPr>
          <w:rFonts w:hint="eastAsia" w:ascii="Times New Roman" w:hAnsi="Times New Roman" w:eastAsia="黑体" w:cs="Times New Roman"/>
          <w:b w:val="0"/>
          <w:bCs w:val="0"/>
          <w:kern w:val="0"/>
          <w:sz w:val="28"/>
          <w:szCs w:val="28"/>
        </w:rPr>
        <w:t>和布局</w:t>
      </w:r>
      <w:bookmarkEnd w:id="63"/>
    </w:p>
    <w:p w14:paraId="661947E9">
      <w:pPr>
        <w:widowControl/>
        <w:adjustRightInd w:val="0"/>
        <w:ind w:firstLine="560" w:firstLineChars="200"/>
        <w:rPr>
          <w:rFonts w:cs="Times New Roman"/>
          <w:sz w:val="28"/>
          <w:szCs w:val="28"/>
        </w:rPr>
      </w:pPr>
      <w:r>
        <w:rPr>
          <w:rFonts w:cs="Times New Roman"/>
          <w:sz w:val="28"/>
          <w:szCs w:val="28"/>
        </w:rPr>
        <w:t>根据近年来洪涝灾害防御新特点、防洪保安新要求和洪水演变新形势，统筹考虑需要和可能，协调防洪建设与经济社会发展关系，综合确定以下防御体系标准。</w:t>
      </w:r>
    </w:p>
    <w:p w14:paraId="72E8AD4D">
      <w:pPr>
        <w:pStyle w:val="4"/>
        <w:widowControl/>
        <w:adjustRightInd w:val="0"/>
        <w:spacing w:before="0" w:after="0" w:line="360" w:lineRule="auto"/>
        <w:jc w:val="left"/>
        <w:rPr>
          <w:rFonts w:eastAsia="黑体" w:cs="Times New Roman"/>
          <w:b w:val="0"/>
          <w:bCs w:val="0"/>
          <w:kern w:val="0"/>
          <w:sz w:val="28"/>
          <w:szCs w:val="28"/>
        </w:rPr>
      </w:pPr>
      <w:bookmarkStart w:id="64" w:name="_Toc198652035"/>
      <w:bookmarkStart w:id="65" w:name="OLE_LINK1"/>
      <w:r>
        <w:rPr>
          <w:rFonts w:hint="eastAsia" w:eastAsia="黑体" w:cs="Times New Roman"/>
          <w:b w:val="0"/>
          <w:bCs w:val="0"/>
          <w:kern w:val="0"/>
          <w:sz w:val="28"/>
          <w:szCs w:val="28"/>
        </w:rPr>
        <w:t>3.2.1</w:t>
      </w:r>
      <w:r>
        <w:rPr>
          <w:rFonts w:eastAsia="黑体" w:cs="Times New Roman"/>
          <w:b w:val="0"/>
          <w:bCs w:val="0"/>
          <w:kern w:val="0"/>
          <w:sz w:val="28"/>
          <w:szCs w:val="28"/>
        </w:rPr>
        <w:t>防洪标准</w:t>
      </w:r>
      <w:bookmarkEnd w:id="64"/>
    </w:p>
    <w:bookmarkEnd w:id="65"/>
    <w:p w14:paraId="2148ADFD">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防洪标准</w:t>
      </w:r>
    </w:p>
    <w:p w14:paraId="634D663F">
      <w:pPr>
        <w:widowControl/>
        <w:adjustRightInd w:val="0"/>
        <w:ind w:firstLine="560" w:firstLineChars="200"/>
        <w:rPr>
          <w:rFonts w:cs="Times New Roman"/>
          <w:sz w:val="28"/>
          <w:szCs w:val="28"/>
        </w:rPr>
      </w:pPr>
      <w:r>
        <w:rPr>
          <w:rFonts w:cs="Times New Roman"/>
          <w:sz w:val="28"/>
          <w:szCs w:val="28"/>
        </w:rPr>
        <w:t>按照新时期防洪排涝要求，协调防洪排涝建设与经济社会发展关系，按照适当提前、统筹协调的原则，确定与防洪保护区高质量发展相匹配的防洪排涝标准。</w:t>
      </w:r>
      <w:r>
        <w:rPr>
          <w:rFonts w:hint="eastAsia" w:cs="Times New Roman"/>
          <w:sz w:val="28"/>
          <w:szCs w:val="28"/>
        </w:rPr>
        <w:t>城镇防洪标准为50-100年一遇，根据九原区城区防洪的实际需要，工程总体规划布置按照《九原区防洪总体规划》（2010-2030）城区规划范围，进行工程规划布置。乡镇防洪标准为10-20年，根据九原区乡村防洪的实际需要，工程总体规划布置按照《九原区防洪总体规划》（2010-2030）。</w:t>
      </w:r>
    </w:p>
    <w:p w14:paraId="1A819B78">
      <w:pPr>
        <w:pStyle w:val="4"/>
        <w:widowControl/>
        <w:adjustRightInd w:val="0"/>
        <w:spacing w:before="0" w:after="0" w:line="360" w:lineRule="auto"/>
        <w:jc w:val="left"/>
        <w:rPr>
          <w:rFonts w:cs="Times New Roman"/>
          <w:sz w:val="28"/>
          <w:szCs w:val="28"/>
        </w:rPr>
      </w:pPr>
      <w:bookmarkStart w:id="66" w:name="_Toc198652036"/>
      <w:r>
        <w:rPr>
          <w:rFonts w:hint="eastAsia" w:eastAsia="黑体" w:cs="Times New Roman"/>
          <w:b w:val="0"/>
          <w:bCs w:val="0"/>
          <w:kern w:val="0"/>
          <w:sz w:val="28"/>
          <w:szCs w:val="28"/>
        </w:rPr>
        <w:t>3.2.2</w:t>
      </w:r>
      <w:r>
        <w:rPr>
          <w:rFonts w:eastAsia="黑体" w:cs="Times New Roman"/>
          <w:b w:val="0"/>
          <w:bCs w:val="0"/>
          <w:kern w:val="0"/>
          <w:sz w:val="28"/>
          <w:szCs w:val="28"/>
        </w:rPr>
        <w:t>防洪</w:t>
      </w:r>
      <w:r>
        <w:rPr>
          <w:rFonts w:hint="eastAsia" w:eastAsia="黑体" w:cs="Times New Roman"/>
          <w:b w:val="0"/>
          <w:bCs w:val="0"/>
          <w:kern w:val="0"/>
          <w:sz w:val="28"/>
          <w:szCs w:val="28"/>
        </w:rPr>
        <w:t>布局</w:t>
      </w:r>
      <w:bookmarkEnd w:id="66"/>
    </w:p>
    <w:p w14:paraId="6B272E25">
      <w:pPr>
        <w:widowControl/>
        <w:adjustRightInd w:val="0"/>
        <w:ind w:firstLine="560" w:firstLineChars="200"/>
        <w:rPr>
          <w:rFonts w:cs="Times New Roman"/>
          <w:sz w:val="28"/>
          <w:szCs w:val="28"/>
        </w:rPr>
      </w:pPr>
      <w:r>
        <w:rPr>
          <w:rFonts w:hint="eastAsia" w:cs="Times New Roman"/>
          <w:sz w:val="28"/>
          <w:szCs w:val="28"/>
        </w:rPr>
        <w:t>九原区现状防洪工程分布在区内主要河流上，其中</w:t>
      </w:r>
      <w:r>
        <w:rPr>
          <w:rFonts w:cs="Times New Roman"/>
          <w:sz w:val="28"/>
          <w:szCs w:val="28"/>
        </w:rPr>
        <w:t>黄河包头</w:t>
      </w:r>
      <w:r>
        <w:rPr>
          <w:rFonts w:hint="eastAsia" w:cs="Times New Roman"/>
          <w:sz w:val="28"/>
          <w:szCs w:val="28"/>
        </w:rPr>
        <w:t>九原区</w:t>
      </w:r>
      <w:r>
        <w:rPr>
          <w:rFonts w:cs="Times New Roman"/>
          <w:sz w:val="28"/>
          <w:szCs w:val="28"/>
        </w:rPr>
        <w:t>段</w:t>
      </w:r>
      <w:r>
        <w:rPr>
          <w:rFonts w:hint="eastAsia" w:cs="Times New Roman"/>
          <w:sz w:val="28"/>
          <w:szCs w:val="28"/>
        </w:rPr>
        <w:t>、四道沙河、昆都仑河是重点，从区域上讲分城镇和乡村两部分，城镇主要是昆都仑河和四道沙河防洪体系。</w:t>
      </w:r>
    </w:p>
    <w:p w14:paraId="5922374D">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黄河包头</w:t>
      </w:r>
      <w:r>
        <w:rPr>
          <w:rFonts w:hint="eastAsia" w:cs="Times New Roman"/>
          <w:b/>
          <w:bCs/>
          <w:sz w:val="28"/>
          <w:szCs w:val="28"/>
        </w:rPr>
        <w:t>九原区</w:t>
      </w:r>
      <w:r>
        <w:rPr>
          <w:rFonts w:cs="Times New Roman"/>
          <w:b/>
          <w:bCs/>
          <w:sz w:val="28"/>
          <w:szCs w:val="28"/>
        </w:rPr>
        <w:t>段防洪体系</w:t>
      </w:r>
    </w:p>
    <w:p w14:paraId="10B07A8A">
      <w:pPr>
        <w:widowControl/>
        <w:adjustRightInd w:val="0"/>
        <w:ind w:firstLine="560" w:firstLineChars="200"/>
        <w:rPr>
          <w:rFonts w:cs="Times New Roman"/>
          <w:sz w:val="28"/>
          <w:szCs w:val="28"/>
        </w:rPr>
      </w:pPr>
      <w:r>
        <w:rPr>
          <w:rFonts w:cs="Times New Roman"/>
          <w:sz w:val="28"/>
          <w:szCs w:val="28"/>
        </w:rPr>
        <w:t>黄河包头</w:t>
      </w:r>
      <w:r>
        <w:rPr>
          <w:rFonts w:hint="eastAsia" w:cs="Times New Roman"/>
          <w:sz w:val="28"/>
          <w:szCs w:val="28"/>
        </w:rPr>
        <w:t>九原区</w:t>
      </w:r>
      <w:r>
        <w:rPr>
          <w:rFonts w:cs="Times New Roman"/>
          <w:sz w:val="28"/>
          <w:szCs w:val="28"/>
        </w:rPr>
        <w:t>段河道西起九原区哈业胡同镇的打不素村，东至</w:t>
      </w:r>
      <w:r>
        <w:rPr>
          <w:rFonts w:hint="eastAsia" w:cs="Times New Roman"/>
          <w:sz w:val="28"/>
          <w:szCs w:val="28"/>
        </w:rPr>
        <w:t>画匠营子</w:t>
      </w:r>
      <w:r>
        <w:rPr>
          <w:rFonts w:cs="Times New Roman"/>
          <w:sz w:val="28"/>
          <w:szCs w:val="28"/>
        </w:rPr>
        <w:t>村，沿程涉及九原区打不素村</w:t>
      </w:r>
      <w:r>
        <w:rPr>
          <w:rFonts w:hint="eastAsia" w:cs="Times New Roman"/>
          <w:sz w:val="28"/>
          <w:szCs w:val="28"/>
        </w:rPr>
        <w:t>、全巴图村、兰桂窑子村、画匠营子</w:t>
      </w:r>
      <w:r>
        <w:rPr>
          <w:rFonts w:cs="Times New Roman"/>
          <w:sz w:val="28"/>
          <w:szCs w:val="28"/>
        </w:rPr>
        <w:t>村</w:t>
      </w:r>
      <w:r>
        <w:rPr>
          <w:rFonts w:hint="eastAsia" w:cs="Times New Roman"/>
          <w:sz w:val="28"/>
          <w:szCs w:val="28"/>
        </w:rPr>
        <w:t>四个村</w:t>
      </w:r>
      <w:r>
        <w:rPr>
          <w:rFonts w:cs="Times New Roman"/>
          <w:sz w:val="28"/>
          <w:szCs w:val="28"/>
        </w:rPr>
        <w:t>。坚持黄河</w:t>
      </w:r>
      <w:r>
        <w:rPr>
          <w:rFonts w:hint="eastAsia" w:cs="Times New Roman"/>
          <w:sz w:val="28"/>
          <w:szCs w:val="28"/>
        </w:rPr>
        <w:t>九原区</w:t>
      </w:r>
      <w:r>
        <w:rPr>
          <w:rFonts w:cs="Times New Roman"/>
          <w:sz w:val="28"/>
          <w:szCs w:val="28"/>
        </w:rPr>
        <w:t>段以防为主、防抗结合的原则，统筹推进黄河</w:t>
      </w:r>
      <w:r>
        <w:rPr>
          <w:rFonts w:hint="eastAsia" w:cs="Times New Roman"/>
          <w:sz w:val="28"/>
          <w:szCs w:val="28"/>
        </w:rPr>
        <w:t>九原区</w:t>
      </w:r>
      <w:r>
        <w:rPr>
          <w:rFonts w:cs="Times New Roman"/>
          <w:sz w:val="28"/>
          <w:szCs w:val="28"/>
        </w:rPr>
        <w:t>段河道综合治理、系统治理、源头治理，综合开展小白河湿地保护与合理利用，建设沿黄生态绿道，构筑沿黄安全生态屏障，还黄河以清流。</w:t>
      </w:r>
    </w:p>
    <w:p w14:paraId="5D59B36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bookmarkStart w:id="67" w:name="_Hlk192083629"/>
      <w:r>
        <w:rPr>
          <w:rFonts w:hint="eastAsia" w:cs="Times New Roman"/>
          <w:b/>
          <w:bCs/>
          <w:sz w:val="28"/>
          <w:szCs w:val="28"/>
        </w:rPr>
        <w:t>昆都仑河</w:t>
      </w:r>
      <w:bookmarkEnd w:id="67"/>
      <w:r>
        <w:rPr>
          <w:rFonts w:hint="eastAsia" w:cs="Times New Roman"/>
          <w:b/>
          <w:bCs/>
          <w:sz w:val="28"/>
          <w:szCs w:val="28"/>
        </w:rPr>
        <w:t>防洪体系</w:t>
      </w:r>
    </w:p>
    <w:p w14:paraId="554399BB">
      <w:pPr>
        <w:widowControl/>
        <w:adjustRightInd w:val="0"/>
        <w:ind w:firstLine="560" w:firstLineChars="200"/>
        <w:rPr>
          <w:rFonts w:cs="Times New Roman"/>
          <w:sz w:val="28"/>
          <w:szCs w:val="28"/>
        </w:rPr>
      </w:pPr>
      <w:r>
        <w:rPr>
          <w:rFonts w:hint="eastAsia" w:cs="Times New Roman"/>
          <w:sz w:val="28"/>
          <w:szCs w:val="28"/>
        </w:rPr>
        <w:t>昆都仑河发源于固阳九原区银号乡大庙，在固阳九原区城由西北转向西南，经公益明乡，在朝阳乡进入峡谷石质山区，从前口子出沟口后自北向南穿越包头市昆都仑区，最后由哈林格尔乡三银才圪堵的南方汇入黄河。昆都仑河总流域面积2761km</w:t>
      </w:r>
      <w:r>
        <w:rPr>
          <w:rFonts w:hint="eastAsia" w:cs="Times New Roman"/>
          <w:sz w:val="28"/>
          <w:szCs w:val="28"/>
          <w:vertAlign w:val="superscript"/>
        </w:rPr>
        <w:t>2</w:t>
      </w:r>
      <w:r>
        <w:rPr>
          <w:rFonts w:hint="eastAsia" w:cs="Times New Roman"/>
          <w:sz w:val="28"/>
          <w:szCs w:val="28"/>
        </w:rPr>
        <w:t>，干流全长142.7km，其中昆都仑水库以上河长111.6km、昆都仑水库下至黄河汇口段全长31.1km。昆都仑水库以下段河道先后穿过京藏高速公路、110国道、市区内各主要街道、包兰铁路、南绕城公路和神华煤制烯烃铁路，最终汇入黄河，区间汇水面积104km</w:t>
      </w:r>
      <w:r>
        <w:rPr>
          <w:rFonts w:hint="eastAsia" w:cs="Times New Roman"/>
          <w:sz w:val="28"/>
          <w:szCs w:val="28"/>
          <w:vertAlign w:val="superscript"/>
        </w:rPr>
        <w:t>2</w:t>
      </w:r>
      <w:r>
        <w:rPr>
          <w:rFonts w:hint="eastAsia" w:cs="Times New Roman"/>
          <w:sz w:val="28"/>
          <w:szCs w:val="28"/>
        </w:rPr>
        <w:t>。</w:t>
      </w:r>
    </w:p>
    <w:p w14:paraId="3A8BDDED">
      <w:pPr>
        <w:widowControl/>
        <w:adjustRightInd w:val="0"/>
        <w:ind w:firstLine="560" w:firstLineChars="200"/>
        <w:rPr>
          <w:rFonts w:cs="Times New Roman"/>
          <w:sz w:val="28"/>
          <w:szCs w:val="28"/>
        </w:rPr>
      </w:pPr>
      <w:r>
        <w:rPr>
          <w:rFonts w:hint="eastAsia" w:cs="Times New Roman"/>
          <w:sz w:val="28"/>
          <w:szCs w:val="28"/>
        </w:rPr>
        <w:t>昆都仑河作为九原区骨干行洪通道之一，其中上段110国道至昆河南桥（友谊大街）南1.3km段河道长9.1km，左右岸现有堤防长度17.1km，已建成为城市景观河道，河道断面为复式断面，主槽宽200m，堤距350m，满足昆都仑河百年一遇行洪要求。下段昆河南桥下1.3km至入黄口段河道由于多年未予治理，河道周边防洪基础设施薄弱，防洪标准未达标；同时沿线工矿企业及居民挤占、侵占河道现象频发，乱挖乱采、倾倒垃圾等行为屡禁不止，致使河道萎缩，行洪能力严重不足；此外，由于周边村民环保意识欠缺，河道内存在少量垃圾，生态环境较差。2021年7月包头市水务局批复实施昆都仑河河道整治工程，工程范围为昆河南桥下1.3km至入黄口，河道总长15.6km，沿途涉及昆都仑区、稀土高新区以及九原区。</w:t>
      </w:r>
    </w:p>
    <w:p w14:paraId="1D6D80B0">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四道沙河防洪体系</w:t>
      </w:r>
    </w:p>
    <w:p w14:paraId="7F9AFFDB">
      <w:pPr>
        <w:widowControl/>
        <w:adjustRightInd w:val="0"/>
        <w:ind w:firstLine="560" w:firstLineChars="200"/>
        <w:rPr>
          <w:rFonts w:eastAsia="仿宋_GB2312" w:cs="Times New Roman"/>
          <w:sz w:val="28"/>
          <w:szCs w:val="28"/>
        </w:rPr>
      </w:pPr>
      <w:r>
        <w:rPr>
          <w:rFonts w:hint="eastAsia" w:cs="Times New Roman"/>
          <w:sz w:val="28"/>
          <w:szCs w:val="28"/>
        </w:rPr>
        <w:t>四道沙河位于青山区一机厂、二机厂东侧，除承纳北郊防洪沟和拦截边墙壕至王老大嵛子一带坡面洪水外，还承纳老虎沟、富家沟洪水，流域面积90.72km</w:t>
      </w:r>
      <w:r>
        <w:rPr>
          <w:rFonts w:cs="Times New Roman"/>
          <w:sz w:val="28"/>
          <w:szCs w:val="28"/>
          <w:vertAlign w:val="superscript"/>
        </w:rPr>
        <w:t>2</w:t>
      </w:r>
      <w:r>
        <w:rPr>
          <w:rFonts w:hint="eastAsia" w:cs="Times New Roman"/>
          <w:sz w:val="28"/>
          <w:szCs w:val="28"/>
        </w:rPr>
        <w:t>，长17km。由内蒙一机厂铁路桥下至昌福窑子4.5km，宽约20m，深约3m，纵坡为1/100-l/155，河床由砂卵石组成。两岸为土岸，穿越建设路后，河槽沿低洼地经尹六窑子、共青农场等地汇入黄河。</w:t>
      </w:r>
      <w:r>
        <w:rPr>
          <w:rFonts w:hint="eastAsia" w:cs="Times New Roman"/>
          <w:b/>
          <w:bCs/>
          <w:sz w:val="28"/>
          <w:szCs w:val="28"/>
        </w:rPr>
        <w:t>四道沙河九原区段北起建设路与青山交界处，南至二电厂储灰池东南与稀土高新区交界处，长度8km。</w:t>
      </w:r>
    </w:p>
    <w:p w14:paraId="2353FDA8">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68" w:name="_Toc198652037"/>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w:t>
      </w:r>
      <w:r>
        <w:rPr>
          <w:rFonts w:hint="eastAsia" w:ascii="Times New Roman" w:hAnsi="Times New Roman" w:eastAsia="黑体" w:cs="Times New Roman"/>
          <w:b w:val="0"/>
          <w:bCs w:val="0"/>
          <w:kern w:val="0"/>
          <w:sz w:val="28"/>
          <w:szCs w:val="28"/>
        </w:rPr>
        <w:t>3加强城市（乡镇）</w:t>
      </w:r>
      <w:r>
        <w:rPr>
          <w:rFonts w:ascii="Times New Roman" w:hAnsi="Times New Roman" w:eastAsia="黑体" w:cs="Times New Roman"/>
          <w:b w:val="0"/>
          <w:bCs w:val="0"/>
          <w:kern w:val="0"/>
          <w:sz w:val="28"/>
          <w:szCs w:val="28"/>
        </w:rPr>
        <w:t>防洪</w:t>
      </w:r>
      <w:r>
        <w:rPr>
          <w:rFonts w:hint="eastAsia" w:ascii="Times New Roman" w:hAnsi="Times New Roman" w:eastAsia="黑体" w:cs="Times New Roman"/>
          <w:b w:val="0"/>
          <w:bCs w:val="0"/>
          <w:kern w:val="0"/>
          <w:sz w:val="28"/>
          <w:szCs w:val="28"/>
        </w:rPr>
        <w:t>排涝建设</w:t>
      </w:r>
      <w:bookmarkEnd w:id="68"/>
    </w:p>
    <w:p w14:paraId="6836CCCD">
      <w:pPr>
        <w:pStyle w:val="4"/>
        <w:widowControl/>
        <w:adjustRightInd w:val="0"/>
        <w:spacing w:before="0" w:after="0" w:line="360" w:lineRule="auto"/>
        <w:jc w:val="left"/>
        <w:rPr>
          <w:rFonts w:eastAsia="黑体" w:cs="Times New Roman"/>
          <w:b w:val="0"/>
          <w:bCs w:val="0"/>
          <w:kern w:val="0"/>
          <w:sz w:val="28"/>
          <w:szCs w:val="28"/>
        </w:rPr>
      </w:pPr>
      <w:bookmarkStart w:id="69" w:name="_Toc198652038"/>
      <w:r>
        <w:rPr>
          <w:rFonts w:hint="eastAsia" w:eastAsia="黑体" w:cs="Times New Roman"/>
          <w:b w:val="0"/>
          <w:bCs w:val="0"/>
          <w:kern w:val="0"/>
          <w:sz w:val="28"/>
          <w:szCs w:val="28"/>
        </w:rPr>
        <w:t>3.3.1城镇防洪工程</w:t>
      </w:r>
      <w:bookmarkEnd w:id="69"/>
    </w:p>
    <w:p w14:paraId="195BCC3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哈德门沟河道治理工程</w:t>
      </w:r>
    </w:p>
    <w:p w14:paraId="71B5F121">
      <w:pPr>
        <w:widowControl/>
        <w:adjustRightInd w:val="0"/>
        <w:ind w:firstLine="560" w:firstLineChars="200"/>
        <w:rPr>
          <w:rFonts w:cs="Times New Roman"/>
          <w:sz w:val="28"/>
          <w:szCs w:val="28"/>
        </w:rPr>
      </w:pPr>
      <w:r>
        <w:rPr>
          <w:rFonts w:hint="eastAsia" w:cs="Times New Roman"/>
          <w:sz w:val="28"/>
          <w:szCs w:val="28"/>
        </w:rPr>
        <w:t>规划在2030年前，河道疏浚整治2.278km，新建护岸1.536km（双侧），加高护岸2.268km（双侧），新建堤防0.442km（其中左岸0.346km、右岸0.096km）；治理哈德门沟纬四路至黄河长8.325km，虎贲亥沟纬四路至哈德门沟长0.295km。哈德桩号段2.597km，河道桩号H29+674.9-H32+272.1，通过清淤、护坡防护等防洪治理措施。虎贲亥沟内蒙古包头市金属深加工园区规划路至包兰铁路桥段河道进行综合治理，沿线桥涵拆除、河道疏浚、河道护坡防护工程、绿化等工程。</w:t>
      </w:r>
    </w:p>
    <w:p w14:paraId="6BF0840F">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昆都仑河</w:t>
      </w:r>
      <w:bookmarkStart w:id="70" w:name="_Hlk191651553"/>
      <w:r>
        <w:rPr>
          <w:rFonts w:hint="eastAsia" w:cs="Times New Roman"/>
          <w:b/>
          <w:bCs/>
          <w:sz w:val="28"/>
          <w:szCs w:val="28"/>
        </w:rPr>
        <w:t>河道治理工程</w:t>
      </w:r>
    </w:p>
    <w:bookmarkEnd w:id="70"/>
    <w:p w14:paraId="05072412">
      <w:pPr>
        <w:widowControl/>
        <w:adjustRightInd w:val="0"/>
        <w:ind w:firstLine="560" w:firstLineChars="200"/>
        <w:rPr>
          <w:rFonts w:cs="Times New Roman"/>
          <w:sz w:val="28"/>
          <w:szCs w:val="28"/>
        </w:rPr>
      </w:pPr>
      <w:r>
        <w:rPr>
          <w:rFonts w:hint="eastAsia" w:cs="Times New Roman"/>
          <w:sz w:val="28"/>
          <w:szCs w:val="28"/>
        </w:rPr>
        <w:t>规划在2030年前，实施河道疏浚2.774km、岸坡整治及防护5.253km、新建跌水4座、改造漫水路2座、新增监控设备4套以及堤身沿线水土保持措施等；</w:t>
      </w:r>
    </w:p>
    <w:p w14:paraId="7167EF4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四道沙河河道治理工程</w:t>
      </w:r>
    </w:p>
    <w:p w14:paraId="7DFF7A50">
      <w:pPr>
        <w:widowControl/>
        <w:adjustRightInd w:val="0"/>
        <w:ind w:firstLine="560" w:firstLineChars="200"/>
        <w:rPr>
          <w:rFonts w:cs="Times New Roman"/>
          <w:sz w:val="28"/>
          <w:szCs w:val="28"/>
        </w:rPr>
      </w:pPr>
      <w:r>
        <w:rPr>
          <w:rFonts w:hint="eastAsia" w:cs="Times New Roman"/>
          <w:sz w:val="28"/>
          <w:szCs w:val="28"/>
        </w:rPr>
        <w:t>四道沙河上游包环铁路桥北处新建液压坝一座，坝高2m，对东达沟下游汇入四道沙河的200m河道及北郊截洪沟赛汗路桥至王老大漫水路1.6km段的河道进行生态综合治理，全断面护坡绿化，河道底宽60-80m。</w:t>
      </w:r>
    </w:p>
    <w:p w14:paraId="4D043C9B">
      <w:pPr>
        <w:pStyle w:val="4"/>
        <w:widowControl/>
        <w:adjustRightInd w:val="0"/>
        <w:spacing w:before="0" w:after="0" w:line="360" w:lineRule="auto"/>
        <w:jc w:val="left"/>
        <w:rPr>
          <w:rFonts w:eastAsia="黑体" w:cs="Times New Roman"/>
          <w:b w:val="0"/>
          <w:bCs w:val="0"/>
          <w:kern w:val="0"/>
          <w:sz w:val="28"/>
          <w:szCs w:val="28"/>
        </w:rPr>
      </w:pPr>
      <w:bookmarkStart w:id="71" w:name="_Toc198652039"/>
      <w:r>
        <w:rPr>
          <w:rFonts w:hint="eastAsia" w:eastAsia="黑体" w:cs="Times New Roman"/>
          <w:b w:val="0"/>
          <w:bCs w:val="0"/>
          <w:kern w:val="0"/>
          <w:sz w:val="28"/>
          <w:szCs w:val="28"/>
        </w:rPr>
        <w:t>3.3.2乡村防洪工程</w:t>
      </w:r>
      <w:bookmarkEnd w:id="71"/>
    </w:p>
    <w:p w14:paraId="3695F5BA">
      <w:pPr>
        <w:widowControl/>
        <w:adjustRightInd w:val="0"/>
        <w:ind w:firstLine="560" w:firstLineChars="200"/>
        <w:rPr>
          <w:rFonts w:cs="Times New Roman"/>
          <w:sz w:val="28"/>
          <w:szCs w:val="28"/>
        </w:rPr>
      </w:pPr>
      <w:r>
        <w:rPr>
          <w:rFonts w:hint="eastAsia" w:cs="Times New Roman"/>
          <w:sz w:val="28"/>
          <w:szCs w:val="28"/>
        </w:rPr>
        <w:t>规划2026-2035年对以下沟道进行：</w:t>
      </w:r>
    </w:p>
    <w:p w14:paraId="3200BE3B">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哈德门沟左岸新建堤防1.934km，左岸加固堤防3.459km，右岸新建堤防5.474km，右岸加固堤防3.459km，河道疏浚8.933km；</w:t>
      </w:r>
    </w:p>
    <w:p w14:paraId="618EB938">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梅力更沟新建堤防左右岸各7.149km，河道疏浚7.149km；</w:t>
      </w:r>
    </w:p>
    <w:p w14:paraId="3B6486BD">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3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⑶</w:t>
      </w:r>
      <w:r>
        <w:rPr>
          <w:rFonts w:cs="Times New Roman"/>
          <w:sz w:val="28"/>
          <w:szCs w:val="28"/>
        </w:rPr>
        <w:fldChar w:fldCharType="end"/>
      </w:r>
      <w:r>
        <w:rPr>
          <w:rFonts w:hint="eastAsia" w:cs="Times New Roman"/>
          <w:sz w:val="28"/>
          <w:szCs w:val="28"/>
        </w:rPr>
        <w:t>乌兰不浪沟新建堤防左右岸各2.856km，河道疏浚2.856km；</w:t>
      </w:r>
    </w:p>
    <w:p w14:paraId="1A91E1FF">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4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⑷</w:t>
      </w:r>
      <w:r>
        <w:rPr>
          <w:rFonts w:cs="Times New Roman"/>
          <w:sz w:val="28"/>
          <w:szCs w:val="28"/>
        </w:rPr>
        <w:fldChar w:fldCharType="end"/>
      </w:r>
      <w:r>
        <w:rPr>
          <w:rFonts w:hint="eastAsia" w:cs="Times New Roman"/>
          <w:sz w:val="28"/>
          <w:szCs w:val="28"/>
        </w:rPr>
        <w:t>大坝沟新建堤防左右岸各2.71km，河道疏浚2.71km；</w:t>
      </w:r>
    </w:p>
    <w:p w14:paraId="6997A53D">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5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⑸</w:t>
      </w:r>
      <w:r>
        <w:rPr>
          <w:rFonts w:cs="Times New Roman"/>
          <w:sz w:val="28"/>
          <w:szCs w:val="28"/>
        </w:rPr>
        <w:fldChar w:fldCharType="end"/>
      </w:r>
      <w:r>
        <w:rPr>
          <w:rFonts w:hint="eastAsia" w:cs="Times New Roman"/>
          <w:sz w:val="28"/>
          <w:szCs w:val="28"/>
        </w:rPr>
        <w:t>白石头沟新建堤防左右岸各2.943km，河道疏浚2.943km；</w:t>
      </w:r>
    </w:p>
    <w:p w14:paraId="79AAF870">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6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⑹</w:t>
      </w:r>
      <w:r>
        <w:rPr>
          <w:rFonts w:cs="Times New Roman"/>
          <w:sz w:val="28"/>
          <w:szCs w:val="28"/>
        </w:rPr>
        <w:fldChar w:fldCharType="end"/>
      </w:r>
      <w:r>
        <w:rPr>
          <w:rFonts w:hint="eastAsia" w:cs="Times New Roman"/>
          <w:sz w:val="28"/>
          <w:szCs w:val="28"/>
        </w:rPr>
        <w:t>虎贲亥沟左岸新建堤防0.5km，河道疏浚0.5km。</w:t>
      </w:r>
    </w:p>
    <w:p w14:paraId="1D7125D3">
      <w:pPr>
        <w:widowControl/>
        <w:adjustRightInd w:val="0"/>
        <w:ind w:firstLine="560" w:firstLineChars="200"/>
        <w:rPr>
          <w:rFonts w:cs="Times New Roman"/>
          <w:sz w:val="28"/>
          <w:szCs w:val="28"/>
        </w:rPr>
      </w:pPr>
    </w:p>
    <w:p w14:paraId="45209E97">
      <w:pPr>
        <w:widowControl/>
        <w:adjustRightInd w:val="0"/>
        <w:ind w:firstLine="560" w:firstLineChars="200"/>
        <w:rPr>
          <w:rFonts w:cs="Times New Roman"/>
          <w:sz w:val="28"/>
          <w:szCs w:val="28"/>
        </w:rPr>
      </w:pPr>
    </w:p>
    <w:p w14:paraId="3F60C527">
      <w:pPr>
        <w:adjustRightInd w:val="0"/>
        <w:spacing w:line="240" w:lineRule="auto"/>
        <w:jc w:val="center"/>
        <w:rPr>
          <w:rFonts w:cs="Times New Roman"/>
          <w:b/>
          <w:sz w:val="28"/>
        </w:rPr>
      </w:pPr>
      <w:r>
        <w:rPr>
          <w:rFonts w:cs="Times New Roman"/>
          <w:b/>
          <w:sz w:val="28"/>
        </w:rPr>
        <w:t>专栏</w:t>
      </w:r>
      <w:r>
        <w:rPr>
          <w:rFonts w:hint="eastAsia" w:cs="Times New Roman"/>
          <w:b/>
          <w:sz w:val="28"/>
        </w:rPr>
        <w:t>3</w:t>
      </w:r>
      <w:r>
        <w:rPr>
          <w:rFonts w:cs="Times New Roman"/>
          <w:b/>
          <w:sz w:val="28"/>
        </w:rPr>
        <w:t>-</w:t>
      </w:r>
      <w:r>
        <w:rPr>
          <w:rFonts w:hint="eastAsia" w:cs="Times New Roman"/>
          <w:b/>
          <w:sz w:val="28"/>
        </w:rPr>
        <w:t>1  九原区城市（乡村）</w:t>
      </w:r>
      <w:r>
        <w:rPr>
          <w:rFonts w:cs="Times New Roman"/>
          <w:b/>
          <w:sz w:val="28"/>
        </w:rPr>
        <w:t>防洪体系建设</w:t>
      </w:r>
    </w:p>
    <w:p w14:paraId="7E782F72">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cs="Times New Roman"/>
          <w:b/>
          <w:bCs/>
          <w:szCs w:val="24"/>
        </w:rPr>
        <w:t>01</w:t>
      </w:r>
      <w:r>
        <w:rPr>
          <w:rFonts w:hint="eastAsia" w:cs="Times New Roman"/>
          <w:b/>
          <w:bCs/>
          <w:szCs w:val="24"/>
        </w:rPr>
        <w:t>城镇防洪工程</w:t>
      </w:r>
    </w:p>
    <w:p w14:paraId="63C13727">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hint="eastAsia" w:cs="Times New Roman"/>
          <w:szCs w:val="24"/>
        </w:rPr>
        <w:t>①哈德门沟河道治理工程：河道疏浚整治2.278km，新建护岸1.536km（双侧），加高护岸2.268km（双侧），新建堤防0.442km（其中左岸0.346km、右岸0.096km）；治理哈德门沟纬四路至黄河长8.325km，虎贲亥沟纬四路至哈德门沟长0.295km。哈德桩号段2.597km，河道桩号H29+674.9-H32+272.1，通过清淤、护坡防护等防洪治理措施。虎贲亥沟内蒙古包头市金属深加工园区规划路至包兰铁路桥段河道进行综合治理，沿线桥涵拆除、河道疏浚、河道护坡防护工程、绿化等工程。②昆都仑河河道治理工程：实施河道疏浚2.774km、岸坡整治及防护5.253km、新建跌水4座、改造漫水路2座、新增监控设备4套以及堤身沿线水土保持措施等。④四道沙河上游包环铁路桥北处新建液压坝一座，坝高2m，对东达沟下游汇入四道沙河的200m河道及北郊截洪沟赛汗路桥至王老大漫水路1.6km段的河道进行生态综合治理，全断面护坡绿化，河道底宽60-80m。</w:t>
      </w:r>
    </w:p>
    <w:p w14:paraId="066DAE0F">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hint="eastAsia" w:cs="Times New Roman"/>
          <w:b/>
          <w:bCs/>
          <w:szCs w:val="24"/>
        </w:rPr>
        <w:t>02乡村防洪工程</w:t>
      </w:r>
    </w:p>
    <w:p w14:paraId="38BB3597">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hint="eastAsia" w:cs="Times New Roman"/>
          <w:szCs w:val="24"/>
        </w:rPr>
        <w:t>哈德门沟左岸新建堤防1.934km，左岸加固堤防3.459km，右岸新建堤防5.474km，右岸加固堤防3.459km，河道疏浚8.933km；梅力更沟新建堤防左右岸各7.149km，河道疏浚7.149km；乌兰不浪沟新建堤防左右岸各2.856km，河道疏浚2.856km；大坝沟新建堤防左右岸各2.71km，河道疏浚2.71km；白石头沟新建堤防左右岸各2.943km，河道疏浚2.943km；虎贲亥沟左岸新建堤防0.5km，河道疏浚0.5km。</w:t>
      </w:r>
    </w:p>
    <w:p w14:paraId="3B4320C2">
      <w:pPr>
        <w:pStyle w:val="3"/>
        <w:widowControl/>
        <w:adjustRightInd w:val="0"/>
        <w:spacing w:before="156" w:beforeLines="50" w:after="0" w:line="360" w:lineRule="auto"/>
        <w:jc w:val="left"/>
        <w:rPr>
          <w:rFonts w:ascii="Times New Roman" w:hAnsi="Times New Roman" w:eastAsia="黑体" w:cs="Times New Roman"/>
          <w:b w:val="0"/>
          <w:bCs w:val="0"/>
          <w:kern w:val="0"/>
          <w:sz w:val="28"/>
          <w:szCs w:val="28"/>
        </w:rPr>
      </w:pPr>
      <w:bookmarkStart w:id="72" w:name="_Toc198652040"/>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w:t>
      </w:r>
      <w:r>
        <w:rPr>
          <w:rFonts w:hint="eastAsia" w:ascii="Times New Roman" w:hAnsi="Times New Roman" w:eastAsia="黑体" w:cs="Times New Roman"/>
          <w:b w:val="0"/>
          <w:bCs w:val="0"/>
          <w:kern w:val="0"/>
          <w:sz w:val="28"/>
          <w:szCs w:val="28"/>
        </w:rPr>
        <w:t>4防洪非工程措施建议</w:t>
      </w:r>
      <w:bookmarkEnd w:id="72"/>
    </w:p>
    <w:p w14:paraId="194C7DA2">
      <w:pPr>
        <w:widowControl/>
        <w:adjustRightInd w:val="0"/>
        <w:ind w:firstLine="560" w:firstLineChars="200"/>
        <w:rPr>
          <w:rFonts w:cs="Times New Roman"/>
          <w:sz w:val="28"/>
          <w:szCs w:val="28"/>
        </w:rPr>
      </w:pPr>
      <w:r>
        <w:rPr>
          <w:rFonts w:cs="Times New Roman"/>
          <w:sz w:val="28"/>
          <w:szCs w:val="28"/>
        </w:rPr>
        <w:t>考虑</w:t>
      </w:r>
      <w:r>
        <w:rPr>
          <w:rFonts w:hint="eastAsia" w:cs="Times New Roman"/>
          <w:sz w:val="28"/>
          <w:szCs w:val="28"/>
        </w:rPr>
        <w:t>九原区本地</w:t>
      </w:r>
      <w:r>
        <w:rPr>
          <w:rFonts w:cs="Times New Roman"/>
          <w:sz w:val="28"/>
          <w:szCs w:val="28"/>
        </w:rPr>
        <w:t>洪水特点和防洪工程体系差异，充分融入防洪减灾新理念、洪水风险管理理念，按照综合管理要求，提出具有</w:t>
      </w:r>
      <w:r>
        <w:rPr>
          <w:rFonts w:hint="eastAsia" w:cs="Times New Roman"/>
          <w:sz w:val="28"/>
          <w:szCs w:val="28"/>
        </w:rPr>
        <w:t>九原区</w:t>
      </w:r>
      <w:r>
        <w:rPr>
          <w:rFonts w:cs="Times New Roman"/>
          <w:sz w:val="28"/>
          <w:szCs w:val="28"/>
        </w:rPr>
        <w:t>特色的防洪非工程措施。</w:t>
      </w:r>
    </w:p>
    <w:p w14:paraId="267C6A7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防洪区管理</w:t>
      </w:r>
    </w:p>
    <w:p w14:paraId="0E0C72E8">
      <w:pPr>
        <w:widowControl/>
        <w:adjustRightInd w:val="0"/>
        <w:ind w:firstLine="560" w:firstLineChars="200"/>
        <w:rPr>
          <w:rFonts w:cs="Times New Roman"/>
          <w:sz w:val="28"/>
          <w:szCs w:val="28"/>
        </w:rPr>
      </w:pPr>
      <w:r>
        <w:rPr>
          <w:rFonts w:cs="Times New Roman"/>
          <w:sz w:val="28"/>
          <w:szCs w:val="28"/>
        </w:rPr>
        <w:t>结合</w:t>
      </w:r>
      <w:r>
        <w:rPr>
          <w:rFonts w:hint="eastAsia" w:cs="Times New Roman"/>
          <w:sz w:val="28"/>
          <w:szCs w:val="28"/>
        </w:rPr>
        <w:t>九原区</w:t>
      </w:r>
      <w:r>
        <w:rPr>
          <w:rFonts w:cs="Times New Roman"/>
          <w:sz w:val="28"/>
          <w:szCs w:val="28"/>
        </w:rPr>
        <w:t>国土空间管控要求，分区分级分类对河道及洪泛区、蓄滞洪区、防洪保护区及规划保留区制定防洪区管理措施。</w:t>
      </w:r>
    </w:p>
    <w:p w14:paraId="0EA0D971">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洪水风险管理</w:t>
      </w:r>
    </w:p>
    <w:p w14:paraId="4BC28F81">
      <w:pPr>
        <w:widowControl/>
        <w:adjustRightInd w:val="0"/>
        <w:ind w:firstLine="560" w:firstLineChars="200"/>
        <w:rPr>
          <w:rFonts w:cs="Times New Roman"/>
          <w:sz w:val="28"/>
          <w:szCs w:val="28"/>
        </w:rPr>
      </w:pPr>
      <w:r>
        <w:rPr>
          <w:rFonts w:cs="Times New Roman"/>
          <w:sz w:val="28"/>
          <w:szCs w:val="28"/>
        </w:rPr>
        <w:t>开展洪水风险识别和隐患排查、洪水风险图和洪水区划图编制及应用，加强洪水风险社会化管理，在智慧水利建设总体框架下，提出“四预”能力建设方案。</w:t>
      </w:r>
    </w:p>
    <w:p w14:paraId="02081E5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cs="Times New Roman"/>
          <w:b/>
          <w:bCs/>
          <w:sz w:val="28"/>
          <w:szCs w:val="28"/>
        </w:rPr>
        <w:t>超标准洪水应对策略</w:t>
      </w:r>
    </w:p>
    <w:p w14:paraId="0C806DE3">
      <w:pPr>
        <w:widowControl/>
        <w:adjustRightInd w:val="0"/>
        <w:ind w:firstLine="560" w:firstLineChars="200"/>
        <w:rPr>
          <w:rFonts w:cs="Times New Roman"/>
          <w:sz w:val="28"/>
          <w:szCs w:val="28"/>
        </w:rPr>
      </w:pPr>
      <w:r>
        <w:rPr>
          <w:rFonts w:cs="Times New Roman"/>
          <w:sz w:val="28"/>
          <w:szCs w:val="28"/>
        </w:rPr>
        <w:t>在各保护对象现有防洪调度方案的基础上，针对各防洪保护对象的地形地貌条件、水情与工情等特点，根据防洪保护对象的重要性，按照超标准洪水出路安排，提出防洪工程超设计工况运行方案、临时分滞洪水口门位置，弃守区域人员转移、退守防线布设方案等，研究制定超标准洪水的应急方案，完善防洪减灾体系，以非工程措施为主，发挥非工程措施在防汛减灾中的重要作用。主要以主城区以及工业园区为重点保护对象，一方面，充分发挥各防洪工程的防洪作用，利用河道和堤防超高强迫行洪，并结合超标准洪水对策措施进行防御；另一方面，以防为主，防抢结合，全面部署，保证重点，统一指挥，统一调度，积极调动社会力量抗抢险，结合洪水风险图与以往受灾区域，分析洪灾可能影响的范围和单位，明确人员、物资的疏散和转移路线、方式、次序及安置等。</w:t>
      </w:r>
    </w:p>
    <w:p w14:paraId="36044A20">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4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⑷</w:t>
      </w:r>
      <w:r>
        <w:rPr>
          <w:rFonts w:cs="Times New Roman"/>
          <w:b/>
          <w:bCs/>
          <w:sz w:val="28"/>
          <w:szCs w:val="28"/>
        </w:rPr>
        <w:fldChar w:fldCharType="end"/>
      </w:r>
      <w:r>
        <w:rPr>
          <w:rFonts w:cs="Times New Roman"/>
          <w:b/>
          <w:bCs/>
          <w:sz w:val="28"/>
          <w:szCs w:val="28"/>
        </w:rPr>
        <w:t>山洪危险区管理</w:t>
      </w:r>
    </w:p>
    <w:p w14:paraId="5D9C81FC">
      <w:pPr>
        <w:widowControl/>
        <w:adjustRightInd w:val="0"/>
        <w:ind w:firstLine="560" w:firstLineChars="200"/>
        <w:rPr>
          <w:rFonts w:cs="Times New Roman"/>
          <w:sz w:val="28"/>
          <w:szCs w:val="28"/>
        </w:rPr>
      </w:pPr>
      <w:r>
        <w:rPr>
          <w:rFonts w:cs="Times New Roman"/>
          <w:sz w:val="28"/>
          <w:szCs w:val="28"/>
        </w:rPr>
        <w:t>开展</w:t>
      </w:r>
      <w:r>
        <w:rPr>
          <w:rFonts w:hint="eastAsia" w:cs="Times New Roman"/>
          <w:sz w:val="28"/>
          <w:szCs w:val="28"/>
        </w:rPr>
        <w:t>九原区</w:t>
      </w:r>
      <w:r>
        <w:rPr>
          <w:rFonts w:cs="Times New Roman"/>
          <w:sz w:val="28"/>
          <w:szCs w:val="28"/>
        </w:rPr>
        <w:t>山洪危险区管理体系建设，明确责任划分，确保全覆盖、动态管理，根据危险区防洪能力、洪水淹没频次、预警转移风险等多项指标，将危险区划分为重点、中等、一般三个等级；对危险区调入、调出、等级调整明确变更条件及流程，并提出防御管理措施。实现山洪危险区精细化管理，进一步提升山洪灾害防御能力和水平。为山洪灾害危险区持续科学规范化管理，有效防御山洪灾害、保障人民群众生命安全提供有效技术支撑。</w:t>
      </w:r>
    </w:p>
    <w:p w14:paraId="58337F54">
      <w:pPr>
        <w:widowControl/>
        <w:adjustRightInd w:val="0"/>
        <w:ind w:firstLine="560" w:firstLineChars="200"/>
        <w:rPr>
          <w:rFonts w:cs="Times New Roman"/>
          <w:sz w:val="28"/>
          <w:szCs w:val="28"/>
        </w:rPr>
        <w:sectPr>
          <w:headerReference r:id="rId11" w:type="default"/>
          <w:pgSz w:w="11906" w:h="16838"/>
          <w:pgMar w:top="1440" w:right="1800" w:bottom="1440" w:left="1800" w:header="851" w:footer="992" w:gutter="0"/>
          <w:cols w:space="425" w:num="1"/>
          <w:docGrid w:type="lines" w:linePitch="312" w:charSpace="0"/>
        </w:sectPr>
      </w:pPr>
    </w:p>
    <w:bookmarkEnd w:id="57"/>
    <w:bookmarkEnd w:id="58"/>
    <w:p w14:paraId="786F77E8">
      <w:pPr>
        <w:pStyle w:val="2"/>
        <w:widowControl/>
        <w:adjustRightInd w:val="0"/>
        <w:spacing w:before="0" w:after="0" w:line="360" w:lineRule="auto"/>
        <w:jc w:val="left"/>
        <w:rPr>
          <w:rFonts w:eastAsia="黑体" w:cs="Times New Roman"/>
          <w:b w:val="0"/>
          <w:bCs w:val="0"/>
          <w:sz w:val="32"/>
          <w:szCs w:val="48"/>
        </w:rPr>
      </w:pPr>
      <w:bookmarkStart w:id="73" w:name="_Toc134212727"/>
      <w:bookmarkStart w:id="74" w:name="_Hlk182321445"/>
      <w:bookmarkStart w:id="75" w:name="_Toc127266577"/>
      <w:bookmarkStart w:id="76" w:name="_Toc105515765"/>
      <w:bookmarkStart w:id="77" w:name="_Toc198652041"/>
      <w:r>
        <w:rPr>
          <w:rFonts w:eastAsia="黑体" w:cs="Times New Roman"/>
          <w:b w:val="0"/>
          <w:bCs w:val="0"/>
          <w:sz w:val="32"/>
          <w:szCs w:val="48"/>
        </w:rPr>
        <w:t>4</w:t>
      </w:r>
      <w:bookmarkEnd w:id="73"/>
      <w:bookmarkEnd w:id="74"/>
      <w:bookmarkEnd w:id="75"/>
      <w:bookmarkEnd w:id="76"/>
      <w:r>
        <w:rPr>
          <w:rFonts w:hint="eastAsia" w:eastAsia="黑体" w:cs="Times New Roman"/>
          <w:b w:val="0"/>
          <w:bCs w:val="0"/>
          <w:sz w:val="32"/>
          <w:szCs w:val="48"/>
        </w:rPr>
        <w:t>构建城乡供水网</w:t>
      </w:r>
      <w:bookmarkEnd w:id="77"/>
    </w:p>
    <w:p w14:paraId="36F3BE28">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78" w:name="_Toc109750825"/>
      <w:bookmarkStart w:id="79" w:name="_Toc127266578"/>
      <w:bookmarkStart w:id="80" w:name="_Toc198652042"/>
      <w:r>
        <w:rPr>
          <w:rFonts w:ascii="Times New Roman" w:hAnsi="Times New Roman" w:eastAsia="黑体" w:cs="Times New Roman"/>
          <w:b w:val="0"/>
          <w:bCs w:val="0"/>
          <w:kern w:val="0"/>
          <w:sz w:val="28"/>
          <w:szCs w:val="28"/>
        </w:rPr>
        <w:t>4.1基本思路</w:t>
      </w:r>
      <w:bookmarkEnd w:id="78"/>
      <w:bookmarkEnd w:id="79"/>
      <w:r>
        <w:rPr>
          <w:rFonts w:hint="eastAsia" w:ascii="Times New Roman" w:hAnsi="Times New Roman" w:eastAsia="黑体" w:cs="Times New Roman"/>
          <w:b w:val="0"/>
          <w:bCs w:val="0"/>
          <w:kern w:val="0"/>
          <w:sz w:val="28"/>
          <w:szCs w:val="28"/>
        </w:rPr>
        <w:t>与格局</w:t>
      </w:r>
      <w:bookmarkEnd w:id="80"/>
    </w:p>
    <w:p w14:paraId="7496F1CF">
      <w:pPr>
        <w:widowControl/>
        <w:adjustRightInd w:val="0"/>
        <w:ind w:firstLine="560" w:firstLineChars="200"/>
        <w:rPr>
          <w:rFonts w:cs="Times New Roman"/>
          <w:sz w:val="28"/>
          <w:szCs w:val="28"/>
        </w:rPr>
      </w:pPr>
      <w:r>
        <w:rPr>
          <w:rFonts w:hint="eastAsia" w:cs="Times New Roman"/>
          <w:sz w:val="28"/>
          <w:szCs w:val="28"/>
        </w:rPr>
        <w:t>针对九原区水资源时空分布不均等特点，坚持</w:t>
      </w:r>
      <w:r>
        <w:rPr>
          <w:rFonts w:cs="Times New Roman"/>
          <w:sz w:val="28"/>
          <w:szCs w:val="28"/>
        </w:rPr>
        <w:t>“</w:t>
      </w:r>
      <w:r>
        <w:rPr>
          <w:rFonts w:hint="eastAsia" w:cs="Times New Roman"/>
          <w:sz w:val="28"/>
          <w:szCs w:val="28"/>
        </w:rPr>
        <w:t>四水四定</w:t>
      </w:r>
      <w:r>
        <w:rPr>
          <w:rFonts w:cs="Times New Roman"/>
          <w:sz w:val="28"/>
          <w:szCs w:val="28"/>
        </w:rPr>
        <w:t>”</w:t>
      </w:r>
      <w:r>
        <w:rPr>
          <w:rFonts w:hint="eastAsia" w:cs="Times New Roman"/>
          <w:sz w:val="28"/>
          <w:szCs w:val="28"/>
        </w:rPr>
        <w:t>原则，考虑经济高质量发展目标对水资源的需求，综合包头市水网格局以及九原区人口及产业布局、水资源禀赋特征，立足流域整体和水资源空间均衡配置，遵循“确有需要、生态安全、可以持续”的原则，统筹需要与可能、存量与增量、近期与远期。</w:t>
      </w:r>
    </w:p>
    <w:p w14:paraId="5DC78823">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81" w:name="_Toc198652043"/>
      <w:r>
        <w:rPr>
          <w:rFonts w:ascii="Times New Roman" w:hAnsi="Times New Roman" w:eastAsia="黑体" w:cs="Times New Roman"/>
          <w:b w:val="0"/>
          <w:bCs w:val="0"/>
          <w:kern w:val="0"/>
          <w:sz w:val="28"/>
          <w:szCs w:val="28"/>
        </w:rPr>
        <w:t>4.2水资源供需分析与空间均衡配置</w:t>
      </w:r>
      <w:bookmarkEnd w:id="81"/>
    </w:p>
    <w:p w14:paraId="374C1EBF">
      <w:pPr>
        <w:pStyle w:val="4"/>
        <w:widowControl/>
        <w:adjustRightInd w:val="0"/>
        <w:spacing w:before="0" w:after="0" w:line="360" w:lineRule="auto"/>
        <w:jc w:val="left"/>
        <w:rPr>
          <w:rFonts w:eastAsia="黑体" w:cs="Times New Roman"/>
          <w:b w:val="0"/>
          <w:bCs w:val="0"/>
          <w:kern w:val="0"/>
          <w:sz w:val="28"/>
          <w:szCs w:val="28"/>
        </w:rPr>
      </w:pPr>
      <w:bookmarkStart w:id="82" w:name="_Toc198652044"/>
      <w:r>
        <w:rPr>
          <w:rFonts w:eastAsia="黑体" w:cs="Times New Roman"/>
          <w:b w:val="0"/>
          <w:bCs w:val="0"/>
          <w:kern w:val="0"/>
          <w:sz w:val="28"/>
          <w:szCs w:val="28"/>
        </w:rPr>
        <w:t>4.2.1水资源及其开发利用现状</w:t>
      </w:r>
      <w:bookmarkEnd w:id="82"/>
    </w:p>
    <w:p w14:paraId="7E44576E">
      <w:pPr>
        <w:widowControl/>
        <w:adjustRightInd w:val="0"/>
        <w:ind w:firstLine="562" w:firstLineChars="200"/>
        <w:rPr>
          <w:rFonts w:cs="Times New Roman"/>
          <w:b/>
          <w:bCs/>
          <w:sz w:val="28"/>
          <w:szCs w:val="28"/>
        </w:rPr>
      </w:pPr>
      <w:r>
        <w:rPr>
          <w:rFonts w:hint="eastAsia" w:ascii="宋体" w:hAnsi="宋体" w:cs="宋体"/>
          <w:b/>
          <w:bCs/>
          <w:sz w:val="28"/>
          <w:szCs w:val="28"/>
        </w:rPr>
        <w:t>⑴九原区</w:t>
      </w:r>
      <w:r>
        <w:rPr>
          <w:rFonts w:cs="Times New Roman"/>
          <w:b/>
          <w:bCs/>
          <w:sz w:val="28"/>
          <w:szCs w:val="28"/>
        </w:rPr>
        <w:t>水资源量</w:t>
      </w:r>
    </w:p>
    <w:p w14:paraId="029F4A3D">
      <w:pPr>
        <w:widowControl/>
        <w:adjustRightInd w:val="0"/>
        <w:ind w:firstLine="562" w:firstLineChars="200"/>
        <w:rPr>
          <w:rFonts w:cs="Times New Roman"/>
          <w:b/>
          <w:bCs/>
          <w:sz w:val="28"/>
          <w:szCs w:val="28"/>
        </w:rPr>
      </w:pPr>
      <w:r>
        <w:rPr>
          <w:rFonts w:hint="eastAsia" w:cs="Times New Roman"/>
          <w:b/>
          <w:bCs/>
          <w:sz w:val="28"/>
          <w:szCs w:val="28"/>
        </w:rPr>
        <w:t>①地表水资源量</w:t>
      </w:r>
    </w:p>
    <w:p w14:paraId="33EFB61E">
      <w:pPr>
        <w:widowControl/>
        <w:adjustRightInd w:val="0"/>
        <w:ind w:firstLine="560" w:firstLineChars="200"/>
        <w:rPr>
          <w:rFonts w:cs="Times New Roman"/>
          <w:sz w:val="28"/>
          <w:szCs w:val="28"/>
        </w:rPr>
      </w:pPr>
      <w:r>
        <w:rPr>
          <w:rFonts w:hint="eastAsia" w:cs="Times New Roman"/>
          <w:sz w:val="28"/>
          <w:szCs w:val="28"/>
        </w:rPr>
        <w:t>根据《内蒙古自治区第三次全国水资源调查评价技术报告》（内蒙古自治区水利水电勘测设计院），以下简称《评价技术报告》成果，九原区境内多年平均地表水资源量为823万m</w:t>
      </w:r>
      <w:r>
        <w:rPr>
          <w:rFonts w:hint="eastAsia" w:cs="Times New Roman"/>
          <w:sz w:val="28"/>
          <w:szCs w:val="28"/>
          <w:vertAlign w:val="superscript"/>
        </w:rPr>
        <w:t>3</w:t>
      </w:r>
      <w:r>
        <w:rPr>
          <w:rFonts w:hint="eastAsia" w:cs="Times New Roman"/>
          <w:sz w:val="28"/>
          <w:szCs w:val="28"/>
        </w:rPr>
        <w:t>。</w:t>
      </w:r>
    </w:p>
    <w:p w14:paraId="0E2A59F9">
      <w:pPr>
        <w:widowControl/>
        <w:adjustRightInd w:val="0"/>
        <w:ind w:firstLine="562" w:firstLineChars="200"/>
        <w:rPr>
          <w:rFonts w:cs="Times New Roman"/>
          <w:b/>
          <w:bCs/>
          <w:sz w:val="28"/>
          <w:szCs w:val="28"/>
        </w:rPr>
      </w:pPr>
      <w:r>
        <w:rPr>
          <w:rFonts w:hint="eastAsia" w:cs="Times New Roman"/>
          <w:b/>
          <w:bCs/>
          <w:sz w:val="28"/>
          <w:szCs w:val="28"/>
        </w:rPr>
        <w:t>②地下水资源量</w:t>
      </w:r>
    </w:p>
    <w:p w14:paraId="09CA4B00">
      <w:pPr>
        <w:widowControl/>
        <w:adjustRightInd w:val="0"/>
        <w:ind w:firstLine="560" w:firstLineChars="200"/>
        <w:rPr>
          <w:rFonts w:cs="Times New Roman"/>
          <w:sz w:val="28"/>
          <w:szCs w:val="28"/>
        </w:rPr>
      </w:pPr>
      <w:r>
        <w:rPr>
          <w:rFonts w:hint="eastAsia" w:cs="Times New Roman"/>
          <w:sz w:val="28"/>
          <w:szCs w:val="28"/>
        </w:rPr>
        <w:t>根据《评价技术报告》成果，九原区多年平均浅层地下水资源量（矿化度≤2g/L）为3618万m</w:t>
      </w:r>
      <w:r>
        <w:rPr>
          <w:rFonts w:hint="eastAsia" w:cs="Times New Roman"/>
          <w:sz w:val="28"/>
          <w:szCs w:val="28"/>
          <w:vertAlign w:val="superscript"/>
        </w:rPr>
        <w:t>3</w:t>
      </w:r>
      <w:r>
        <w:rPr>
          <w:rFonts w:hint="eastAsia" w:cs="Times New Roman"/>
          <w:sz w:val="28"/>
          <w:szCs w:val="28"/>
        </w:rPr>
        <w:t>。其中山丘区地下水资源量为1056万m</w:t>
      </w:r>
      <w:r>
        <w:rPr>
          <w:rFonts w:hint="eastAsia" w:cs="Times New Roman"/>
          <w:sz w:val="28"/>
          <w:szCs w:val="28"/>
          <w:vertAlign w:val="superscript"/>
        </w:rPr>
        <w:t>3</w:t>
      </w:r>
      <w:r>
        <w:rPr>
          <w:rFonts w:hint="eastAsia" w:cs="Times New Roman"/>
          <w:sz w:val="28"/>
          <w:szCs w:val="28"/>
        </w:rPr>
        <w:t>，平原区地下水资源量为3799万m</w:t>
      </w:r>
      <w:r>
        <w:rPr>
          <w:rFonts w:hint="eastAsia" w:cs="Times New Roman"/>
          <w:sz w:val="28"/>
          <w:szCs w:val="28"/>
          <w:vertAlign w:val="superscript"/>
        </w:rPr>
        <w:t>3</w:t>
      </w:r>
      <w:r>
        <w:rPr>
          <w:rFonts w:hint="eastAsia" w:cs="Times New Roman"/>
          <w:sz w:val="28"/>
          <w:szCs w:val="28"/>
        </w:rPr>
        <w:t>。</w:t>
      </w:r>
    </w:p>
    <w:p w14:paraId="30ABF28D">
      <w:pPr>
        <w:widowControl/>
        <w:adjustRightInd w:val="0"/>
        <w:ind w:firstLine="562" w:firstLineChars="200"/>
        <w:rPr>
          <w:rFonts w:cs="Times New Roman"/>
          <w:b/>
          <w:bCs/>
          <w:sz w:val="28"/>
          <w:szCs w:val="28"/>
        </w:rPr>
      </w:pPr>
      <w:r>
        <w:rPr>
          <w:rFonts w:hint="eastAsia" w:cs="Times New Roman"/>
          <w:b/>
          <w:bCs/>
          <w:sz w:val="28"/>
          <w:szCs w:val="28"/>
        </w:rPr>
        <w:t>③水资源总量</w:t>
      </w:r>
    </w:p>
    <w:p w14:paraId="24E6DBAA">
      <w:pPr>
        <w:widowControl/>
        <w:adjustRightInd w:val="0"/>
        <w:ind w:firstLine="560" w:firstLineChars="200"/>
        <w:rPr>
          <w:rFonts w:cs="Times New Roman"/>
          <w:sz w:val="28"/>
          <w:szCs w:val="28"/>
        </w:rPr>
      </w:pPr>
      <w:r>
        <w:rPr>
          <w:rFonts w:hint="eastAsia" w:cs="Times New Roman"/>
          <w:sz w:val="28"/>
          <w:szCs w:val="28"/>
        </w:rPr>
        <w:t>根据《评价技术报告》成果，九原区多年平均地表水资源量为823万m</w:t>
      </w:r>
      <w:r>
        <w:rPr>
          <w:rFonts w:hint="eastAsia" w:cs="Times New Roman"/>
          <w:sz w:val="28"/>
          <w:szCs w:val="28"/>
          <w:vertAlign w:val="superscript"/>
        </w:rPr>
        <w:t>3</w:t>
      </w:r>
      <w:r>
        <w:rPr>
          <w:rFonts w:hint="eastAsia" w:cs="Times New Roman"/>
          <w:sz w:val="28"/>
          <w:szCs w:val="28"/>
        </w:rPr>
        <w:t>，地下水资源量（矿化度≤2g/L）为3618万m</w:t>
      </w:r>
      <w:r>
        <w:rPr>
          <w:rFonts w:hint="eastAsia" w:cs="Times New Roman"/>
          <w:sz w:val="28"/>
          <w:szCs w:val="28"/>
          <w:vertAlign w:val="superscript"/>
        </w:rPr>
        <w:t>3</w:t>
      </w:r>
      <w:r>
        <w:rPr>
          <w:rFonts w:hint="eastAsia" w:cs="Times New Roman"/>
          <w:sz w:val="28"/>
          <w:szCs w:val="28"/>
        </w:rPr>
        <w:t>，扣除地表水与地下水重复计算量415万m</w:t>
      </w:r>
      <w:r>
        <w:rPr>
          <w:rFonts w:hint="eastAsia" w:cs="Times New Roman"/>
          <w:sz w:val="28"/>
          <w:szCs w:val="28"/>
          <w:vertAlign w:val="superscript"/>
        </w:rPr>
        <w:t>3</w:t>
      </w:r>
      <w:r>
        <w:rPr>
          <w:rFonts w:hint="eastAsia" w:cs="Times New Roman"/>
          <w:sz w:val="28"/>
          <w:szCs w:val="28"/>
        </w:rPr>
        <w:t>，九原区多年平均水资源总量为4026万m</w:t>
      </w:r>
      <w:r>
        <w:rPr>
          <w:rFonts w:hint="eastAsia" w:cs="Times New Roman"/>
          <w:sz w:val="28"/>
          <w:szCs w:val="28"/>
          <w:vertAlign w:val="superscript"/>
        </w:rPr>
        <w:t>3</w:t>
      </w:r>
      <w:r>
        <w:rPr>
          <w:rFonts w:hint="eastAsia" w:cs="Times New Roman"/>
          <w:sz w:val="28"/>
          <w:szCs w:val="28"/>
        </w:rPr>
        <w:t>。</w:t>
      </w:r>
    </w:p>
    <w:p w14:paraId="45EA88FA">
      <w:pPr>
        <w:widowControl/>
        <w:adjustRightInd w:val="0"/>
        <w:ind w:firstLine="562" w:firstLineChars="200"/>
        <w:rPr>
          <w:rFonts w:hint="eastAsia" w:ascii="宋体" w:hAnsi="宋体" w:cs="宋体"/>
          <w:b/>
          <w:bCs/>
          <w:sz w:val="28"/>
          <w:szCs w:val="28"/>
        </w:rPr>
      </w:pPr>
      <w:r>
        <w:rPr>
          <w:rFonts w:ascii="宋体" w:hAnsi="宋体" w:cs="宋体"/>
          <w:b/>
          <w:bCs/>
          <w:sz w:val="28"/>
          <w:szCs w:val="28"/>
        </w:rPr>
        <w:fldChar w:fldCharType="begin"/>
      </w:r>
      <w:r>
        <w:rPr>
          <w:rFonts w:ascii="宋体" w:hAnsi="宋体" w:cs="宋体"/>
          <w:b/>
          <w:bCs/>
          <w:sz w:val="28"/>
          <w:szCs w:val="28"/>
        </w:rPr>
        <w:instrText xml:space="preserve"> </w:instrText>
      </w:r>
      <w:r>
        <w:rPr>
          <w:rFonts w:hint="eastAsia" w:ascii="宋体" w:hAnsi="宋体" w:cs="宋体"/>
          <w:b/>
          <w:bCs/>
          <w:sz w:val="28"/>
          <w:szCs w:val="28"/>
        </w:rPr>
        <w:instrText xml:space="preserve">= 2 \* GB2</w:instrText>
      </w:r>
      <w:r>
        <w:rPr>
          <w:rFonts w:ascii="宋体" w:hAnsi="宋体" w:cs="宋体"/>
          <w:b/>
          <w:bCs/>
          <w:sz w:val="28"/>
          <w:szCs w:val="28"/>
        </w:rPr>
        <w:instrText xml:space="preserve"> </w:instrText>
      </w:r>
      <w:r>
        <w:rPr>
          <w:rFonts w:ascii="宋体" w:hAnsi="宋体" w:cs="宋体"/>
          <w:b/>
          <w:bCs/>
          <w:sz w:val="28"/>
          <w:szCs w:val="28"/>
        </w:rPr>
        <w:fldChar w:fldCharType="separate"/>
      </w:r>
      <w:r>
        <w:rPr>
          <w:rFonts w:hint="eastAsia" w:ascii="宋体" w:hAnsi="宋体" w:cs="宋体"/>
          <w:b/>
          <w:bCs/>
          <w:sz w:val="28"/>
          <w:szCs w:val="28"/>
        </w:rPr>
        <w:t>⑵</w:t>
      </w:r>
      <w:r>
        <w:rPr>
          <w:rFonts w:ascii="宋体" w:hAnsi="宋体" w:cs="宋体"/>
          <w:b/>
          <w:bCs/>
          <w:sz w:val="28"/>
          <w:szCs w:val="28"/>
        </w:rPr>
        <w:fldChar w:fldCharType="end"/>
      </w:r>
      <w:r>
        <w:rPr>
          <w:rFonts w:hint="eastAsia" w:ascii="宋体" w:hAnsi="宋体" w:cs="宋体"/>
          <w:b/>
          <w:bCs/>
          <w:sz w:val="28"/>
          <w:szCs w:val="28"/>
        </w:rPr>
        <w:t>水资源可利用量</w:t>
      </w:r>
    </w:p>
    <w:p w14:paraId="5195AADF">
      <w:pPr>
        <w:widowControl/>
        <w:adjustRightInd w:val="0"/>
        <w:ind w:firstLine="560" w:firstLineChars="200"/>
        <w:rPr>
          <w:rFonts w:cs="Times New Roman"/>
          <w:sz w:val="28"/>
          <w:szCs w:val="28"/>
        </w:rPr>
      </w:pPr>
      <w:r>
        <w:rPr>
          <w:rFonts w:hint="eastAsia" w:cs="Times New Roman"/>
          <w:sz w:val="28"/>
          <w:szCs w:val="28"/>
        </w:rPr>
        <w:t>根据《评价技术报告》成果，九原区多年平均浅层地下水可开采量（计入山丘区）（矿化度≤2</w:t>
      </w:r>
      <w:r>
        <w:rPr>
          <w:rFonts w:cs="Times New Roman"/>
          <w:sz w:val="28"/>
          <w:szCs w:val="28"/>
        </w:rPr>
        <w:t>g/L</w:t>
      </w:r>
      <w:r>
        <w:rPr>
          <w:rFonts w:hint="eastAsia" w:cs="Times New Roman"/>
          <w:sz w:val="28"/>
          <w:szCs w:val="28"/>
        </w:rPr>
        <w:t>）为</w:t>
      </w:r>
      <w:r>
        <w:rPr>
          <w:rFonts w:cs="Times New Roman"/>
          <w:sz w:val="28"/>
          <w:szCs w:val="28"/>
        </w:rPr>
        <w:t>2085</w:t>
      </w:r>
      <w:r>
        <w:rPr>
          <w:rFonts w:hint="eastAsia" w:cs="Times New Roman"/>
          <w:sz w:val="28"/>
          <w:szCs w:val="28"/>
        </w:rPr>
        <w:t>万m</w:t>
      </w:r>
      <w:r>
        <w:rPr>
          <w:rFonts w:cs="Times New Roman"/>
          <w:sz w:val="28"/>
          <w:szCs w:val="28"/>
          <w:vertAlign w:val="superscript"/>
        </w:rPr>
        <w:t>3</w:t>
      </w:r>
      <w:r>
        <w:rPr>
          <w:rFonts w:hint="eastAsia" w:cs="Times New Roman"/>
          <w:sz w:val="28"/>
          <w:szCs w:val="28"/>
        </w:rPr>
        <w:t>。</w:t>
      </w:r>
    </w:p>
    <w:p w14:paraId="26CF39AB">
      <w:pPr>
        <w:adjustRightInd w:val="0"/>
        <w:spacing w:line="240" w:lineRule="auto"/>
        <w:jc w:val="center"/>
        <w:rPr>
          <w:b/>
          <w:bCs/>
        </w:rPr>
      </w:pPr>
      <w:r>
        <w:rPr>
          <w:b/>
          <w:bCs/>
        </w:rPr>
        <w:t>表</w:t>
      </w:r>
      <w:r>
        <w:rPr>
          <w:rFonts w:hint="eastAsia"/>
          <w:b/>
          <w:bCs/>
        </w:rPr>
        <w:t>4-</w:t>
      </w:r>
      <w:r>
        <w:rPr>
          <w:b/>
          <w:bCs/>
        </w:rPr>
        <w:t>1  包头市九原区水资源情况一览表  单位：万m</w:t>
      </w:r>
      <w:r>
        <w:rPr>
          <w:b/>
          <w:bCs/>
          <w:vertAlign w:val="superscript"/>
        </w:rPr>
        <w:t>3</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839"/>
        <w:gridCol w:w="873"/>
        <w:gridCol w:w="675"/>
        <w:gridCol w:w="850"/>
        <w:gridCol w:w="849"/>
        <w:gridCol w:w="808"/>
        <w:gridCol w:w="1237"/>
        <w:gridCol w:w="1554"/>
      </w:tblGrid>
      <w:tr w14:paraId="6EEB9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vMerge w:val="restart"/>
            <w:shd w:val="clear" w:color="auto" w:fill="auto"/>
            <w:vAlign w:val="center"/>
          </w:tcPr>
          <w:p w14:paraId="76E423A5">
            <w:pPr>
              <w:adjustRightInd w:val="0"/>
              <w:spacing w:line="240" w:lineRule="auto"/>
              <w:jc w:val="center"/>
              <w:rPr>
                <w:rFonts w:cs="Times New Roman"/>
                <w:b/>
                <w:bCs/>
                <w:color w:val="000000"/>
                <w:sz w:val="21"/>
                <w:szCs w:val="21"/>
              </w:rPr>
            </w:pPr>
            <w:r>
              <w:rPr>
                <w:rFonts w:cs="Times New Roman"/>
                <w:b/>
                <w:bCs/>
                <w:color w:val="000000"/>
                <w:sz w:val="21"/>
                <w:szCs w:val="21"/>
              </w:rPr>
              <w:t>地级行政区</w:t>
            </w:r>
          </w:p>
        </w:tc>
        <w:tc>
          <w:tcPr>
            <w:tcW w:w="492" w:type="pct"/>
            <w:vMerge w:val="restart"/>
            <w:shd w:val="clear" w:color="auto" w:fill="auto"/>
            <w:vAlign w:val="center"/>
          </w:tcPr>
          <w:p w14:paraId="29385892">
            <w:pPr>
              <w:adjustRightInd w:val="0"/>
              <w:spacing w:line="240" w:lineRule="auto"/>
              <w:jc w:val="center"/>
              <w:rPr>
                <w:rFonts w:cs="Times New Roman"/>
                <w:b/>
                <w:bCs/>
                <w:color w:val="000000"/>
                <w:sz w:val="21"/>
                <w:szCs w:val="21"/>
              </w:rPr>
            </w:pPr>
            <w:r>
              <w:rPr>
                <w:rFonts w:cs="Times New Roman"/>
                <w:b/>
                <w:bCs/>
                <w:color w:val="000000"/>
                <w:sz w:val="21"/>
                <w:szCs w:val="21"/>
              </w:rPr>
              <w:t>县级行政区</w:t>
            </w:r>
          </w:p>
        </w:tc>
        <w:tc>
          <w:tcPr>
            <w:tcW w:w="512" w:type="pct"/>
            <w:vMerge w:val="restart"/>
            <w:shd w:val="clear" w:color="auto" w:fill="auto"/>
            <w:vAlign w:val="center"/>
          </w:tcPr>
          <w:p w14:paraId="71AA949B">
            <w:pPr>
              <w:adjustRightInd w:val="0"/>
              <w:spacing w:line="240" w:lineRule="auto"/>
              <w:jc w:val="center"/>
              <w:rPr>
                <w:rFonts w:cs="Times New Roman"/>
                <w:b/>
                <w:bCs/>
                <w:color w:val="000000"/>
                <w:sz w:val="21"/>
                <w:szCs w:val="21"/>
              </w:rPr>
            </w:pPr>
            <w:r>
              <w:rPr>
                <w:rFonts w:cs="Times New Roman"/>
                <w:b/>
                <w:bCs/>
                <w:color w:val="000000"/>
                <w:sz w:val="21"/>
                <w:szCs w:val="21"/>
              </w:rPr>
              <w:t>地表水资源量</w:t>
            </w:r>
          </w:p>
        </w:tc>
        <w:tc>
          <w:tcPr>
            <w:tcW w:w="1393" w:type="pct"/>
            <w:gridSpan w:val="3"/>
            <w:shd w:val="clear" w:color="auto" w:fill="auto"/>
            <w:vAlign w:val="center"/>
          </w:tcPr>
          <w:p w14:paraId="3813E7A9">
            <w:pPr>
              <w:adjustRightInd w:val="0"/>
              <w:spacing w:line="240" w:lineRule="auto"/>
              <w:jc w:val="center"/>
              <w:rPr>
                <w:rFonts w:cs="Times New Roman"/>
                <w:b/>
                <w:bCs/>
                <w:color w:val="000000"/>
                <w:sz w:val="21"/>
                <w:szCs w:val="21"/>
              </w:rPr>
            </w:pPr>
            <w:r>
              <w:rPr>
                <w:rFonts w:cs="Times New Roman"/>
                <w:b/>
                <w:bCs/>
                <w:color w:val="000000"/>
                <w:sz w:val="21"/>
                <w:szCs w:val="21"/>
              </w:rPr>
              <w:t>地下水资源量</w:t>
            </w:r>
          </w:p>
        </w:tc>
        <w:tc>
          <w:tcPr>
            <w:tcW w:w="474" w:type="pct"/>
            <w:vMerge w:val="restart"/>
            <w:shd w:val="clear" w:color="auto" w:fill="auto"/>
            <w:vAlign w:val="center"/>
          </w:tcPr>
          <w:p w14:paraId="6EAB00DA">
            <w:pPr>
              <w:adjustRightInd w:val="0"/>
              <w:spacing w:line="240" w:lineRule="auto"/>
              <w:jc w:val="center"/>
              <w:rPr>
                <w:rFonts w:cs="Times New Roman"/>
                <w:b/>
                <w:bCs/>
                <w:color w:val="000000"/>
                <w:sz w:val="21"/>
                <w:szCs w:val="21"/>
              </w:rPr>
            </w:pPr>
            <w:r>
              <w:rPr>
                <w:rFonts w:cs="Times New Roman"/>
                <w:b/>
                <w:bCs/>
                <w:color w:val="000000"/>
                <w:sz w:val="21"/>
                <w:szCs w:val="21"/>
              </w:rPr>
              <w:t>水资源总量</w:t>
            </w:r>
          </w:p>
        </w:tc>
        <w:tc>
          <w:tcPr>
            <w:tcW w:w="726" w:type="pct"/>
            <w:vMerge w:val="restart"/>
            <w:shd w:val="clear" w:color="auto" w:fill="auto"/>
            <w:vAlign w:val="center"/>
          </w:tcPr>
          <w:p w14:paraId="314CAFD2">
            <w:pPr>
              <w:adjustRightInd w:val="0"/>
              <w:spacing w:line="240" w:lineRule="auto"/>
              <w:jc w:val="center"/>
              <w:rPr>
                <w:rFonts w:cs="Times New Roman"/>
                <w:b/>
                <w:bCs/>
                <w:color w:val="000000"/>
                <w:sz w:val="21"/>
                <w:szCs w:val="21"/>
              </w:rPr>
            </w:pPr>
            <w:r>
              <w:rPr>
                <w:rFonts w:cs="Times New Roman"/>
                <w:b/>
                <w:bCs/>
                <w:color w:val="000000"/>
                <w:sz w:val="21"/>
                <w:szCs w:val="21"/>
              </w:rPr>
              <w:t>平原区浅层地下水可开采量</w:t>
            </w:r>
          </w:p>
        </w:tc>
        <w:tc>
          <w:tcPr>
            <w:tcW w:w="912" w:type="pct"/>
            <w:vMerge w:val="restart"/>
            <w:shd w:val="clear" w:color="auto" w:fill="auto"/>
            <w:vAlign w:val="center"/>
          </w:tcPr>
          <w:p w14:paraId="6601D23F">
            <w:pPr>
              <w:adjustRightInd w:val="0"/>
              <w:spacing w:line="240" w:lineRule="auto"/>
              <w:jc w:val="center"/>
              <w:rPr>
                <w:rFonts w:cs="Times New Roman"/>
                <w:b/>
                <w:bCs/>
                <w:color w:val="000000"/>
                <w:sz w:val="21"/>
                <w:szCs w:val="21"/>
              </w:rPr>
            </w:pPr>
            <w:r>
              <w:rPr>
                <w:rFonts w:cs="Times New Roman"/>
                <w:b/>
                <w:bCs/>
                <w:color w:val="000000"/>
                <w:sz w:val="21"/>
                <w:szCs w:val="21"/>
              </w:rPr>
              <w:t>地下水可开采量（计入山丘区）</w:t>
            </w:r>
          </w:p>
        </w:tc>
      </w:tr>
      <w:tr w14:paraId="37AB4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vMerge w:val="continue"/>
            <w:vAlign w:val="center"/>
          </w:tcPr>
          <w:p w14:paraId="5EC99456">
            <w:pPr>
              <w:adjustRightInd w:val="0"/>
              <w:spacing w:line="240" w:lineRule="auto"/>
              <w:jc w:val="center"/>
              <w:rPr>
                <w:rFonts w:cs="Times New Roman"/>
                <w:b/>
                <w:bCs/>
                <w:color w:val="000000"/>
                <w:sz w:val="21"/>
                <w:szCs w:val="21"/>
              </w:rPr>
            </w:pPr>
          </w:p>
        </w:tc>
        <w:tc>
          <w:tcPr>
            <w:tcW w:w="492" w:type="pct"/>
            <w:vMerge w:val="continue"/>
            <w:vAlign w:val="center"/>
          </w:tcPr>
          <w:p w14:paraId="764C8A38">
            <w:pPr>
              <w:adjustRightInd w:val="0"/>
              <w:spacing w:line="240" w:lineRule="auto"/>
              <w:jc w:val="center"/>
              <w:rPr>
                <w:rFonts w:cs="Times New Roman"/>
                <w:b/>
                <w:bCs/>
                <w:color w:val="000000"/>
                <w:sz w:val="21"/>
                <w:szCs w:val="21"/>
              </w:rPr>
            </w:pPr>
          </w:p>
        </w:tc>
        <w:tc>
          <w:tcPr>
            <w:tcW w:w="512" w:type="pct"/>
            <w:vMerge w:val="continue"/>
            <w:vAlign w:val="center"/>
          </w:tcPr>
          <w:p w14:paraId="715F8485">
            <w:pPr>
              <w:adjustRightInd w:val="0"/>
              <w:spacing w:line="240" w:lineRule="auto"/>
              <w:jc w:val="center"/>
              <w:rPr>
                <w:rFonts w:cs="Times New Roman"/>
                <w:b/>
                <w:bCs/>
                <w:color w:val="000000"/>
                <w:sz w:val="21"/>
                <w:szCs w:val="21"/>
              </w:rPr>
            </w:pPr>
          </w:p>
        </w:tc>
        <w:tc>
          <w:tcPr>
            <w:tcW w:w="396" w:type="pct"/>
            <w:shd w:val="clear" w:color="auto" w:fill="auto"/>
            <w:vAlign w:val="center"/>
          </w:tcPr>
          <w:p w14:paraId="786BDE05">
            <w:pPr>
              <w:adjustRightInd w:val="0"/>
              <w:spacing w:line="240" w:lineRule="auto"/>
              <w:jc w:val="center"/>
              <w:rPr>
                <w:rFonts w:cs="Times New Roman"/>
                <w:b/>
                <w:bCs/>
                <w:color w:val="000000"/>
                <w:sz w:val="21"/>
                <w:szCs w:val="21"/>
              </w:rPr>
            </w:pPr>
          </w:p>
        </w:tc>
        <w:tc>
          <w:tcPr>
            <w:tcW w:w="499" w:type="pct"/>
            <w:shd w:val="clear" w:color="auto" w:fill="auto"/>
            <w:vAlign w:val="center"/>
          </w:tcPr>
          <w:p w14:paraId="5D3161D2">
            <w:pPr>
              <w:adjustRightInd w:val="0"/>
              <w:spacing w:line="240" w:lineRule="auto"/>
              <w:jc w:val="center"/>
              <w:rPr>
                <w:rFonts w:cs="Times New Roman"/>
                <w:b/>
                <w:bCs/>
                <w:color w:val="000000"/>
                <w:sz w:val="21"/>
                <w:szCs w:val="21"/>
              </w:rPr>
            </w:pPr>
            <w:r>
              <w:rPr>
                <w:rFonts w:cs="Times New Roman"/>
                <w:b/>
                <w:bCs/>
                <w:color w:val="000000"/>
                <w:sz w:val="21"/>
                <w:szCs w:val="21"/>
              </w:rPr>
              <w:t>平原区</w:t>
            </w:r>
          </w:p>
        </w:tc>
        <w:tc>
          <w:tcPr>
            <w:tcW w:w="498" w:type="pct"/>
            <w:shd w:val="clear" w:color="auto" w:fill="auto"/>
            <w:vAlign w:val="center"/>
          </w:tcPr>
          <w:p w14:paraId="4A82A6CE">
            <w:pPr>
              <w:adjustRightInd w:val="0"/>
              <w:spacing w:line="240" w:lineRule="auto"/>
              <w:jc w:val="center"/>
              <w:rPr>
                <w:rFonts w:cs="Times New Roman"/>
                <w:b/>
                <w:bCs/>
                <w:color w:val="000000"/>
                <w:sz w:val="21"/>
                <w:szCs w:val="21"/>
              </w:rPr>
            </w:pPr>
            <w:r>
              <w:rPr>
                <w:rFonts w:cs="Times New Roman"/>
                <w:b/>
                <w:bCs/>
                <w:color w:val="000000"/>
                <w:sz w:val="21"/>
                <w:szCs w:val="21"/>
              </w:rPr>
              <w:t>山丘区</w:t>
            </w:r>
          </w:p>
        </w:tc>
        <w:tc>
          <w:tcPr>
            <w:tcW w:w="474" w:type="pct"/>
            <w:vMerge w:val="continue"/>
            <w:vAlign w:val="center"/>
          </w:tcPr>
          <w:p w14:paraId="11460DCC">
            <w:pPr>
              <w:adjustRightInd w:val="0"/>
              <w:spacing w:line="240" w:lineRule="auto"/>
              <w:jc w:val="center"/>
              <w:rPr>
                <w:rFonts w:cs="Times New Roman"/>
                <w:b/>
                <w:bCs/>
                <w:color w:val="000000"/>
                <w:sz w:val="21"/>
                <w:szCs w:val="21"/>
              </w:rPr>
            </w:pPr>
          </w:p>
        </w:tc>
        <w:tc>
          <w:tcPr>
            <w:tcW w:w="726" w:type="pct"/>
            <w:vMerge w:val="continue"/>
            <w:vAlign w:val="center"/>
          </w:tcPr>
          <w:p w14:paraId="478C003C">
            <w:pPr>
              <w:adjustRightInd w:val="0"/>
              <w:spacing w:line="240" w:lineRule="auto"/>
              <w:jc w:val="center"/>
              <w:rPr>
                <w:rFonts w:cs="Times New Roman"/>
                <w:b/>
                <w:bCs/>
                <w:color w:val="000000"/>
                <w:sz w:val="21"/>
                <w:szCs w:val="21"/>
              </w:rPr>
            </w:pPr>
          </w:p>
        </w:tc>
        <w:tc>
          <w:tcPr>
            <w:tcW w:w="912" w:type="pct"/>
            <w:vMerge w:val="continue"/>
            <w:vAlign w:val="center"/>
          </w:tcPr>
          <w:p w14:paraId="60F1CF51">
            <w:pPr>
              <w:adjustRightInd w:val="0"/>
              <w:spacing w:line="240" w:lineRule="auto"/>
              <w:jc w:val="center"/>
              <w:rPr>
                <w:rFonts w:cs="Times New Roman"/>
                <w:b/>
                <w:bCs/>
                <w:color w:val="000000"/>
                <w:sz w:val="21"/>
                <w:szCs w:val="21"/>
              </w:rPr>
            </w:pPr>
          </w:p>
        </w:tc>
      </w:tr>
      <w:tr w14:paraId="7539E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1" w:type="pct"/>
            <w:shd w:val="clear" w:color="auto" w:fill="auto"/>
            <w:vAlign w:val="center"/>
          </w:tcPr>
          <w:p w14:paraId="40FF48FE">
            <w:pPr>
              <w:adjustRightInd w:val="0"/>
              <w:spacing w:line="240" w:lineRule="auto"/>
              <w:jc w:val="center"/>
              <w:rPr>
                <w:rFonts w:cs="Times New Roman"/>
                <w:color w:val="000000"/>
                <w:sz w:val="21"/>
                <w:szCs w:val="21"/>
              </w:rPr>
            </w:pPr>
            <w:r>
              <w:rPr>
                <w:rFonts w:cs="Times New Roman"/>
                <w:color w:val="000000"/>
                <w:sz w:val="21"/>
                <w:szCs w:val="21"/>
              </w:rPr>
              <w:t>包头市</w:t>
            </w:r>
          </w:p>
        </w:tc>
        <w:tc>
          <w:tcPr>
            <w:tcW w:w="492" w:type="pct"/>
            <w:shd w:val="clear" w:color="auto" w:fill="auto"/>
            <w:vAlign w:val="center"/>
          </w:tcPr>
          <w:p w14:paraId="1CA00347">
            <w:pPr>
              <w:adjustRightInd w:val="0"/>
              <w:spacing w:line="240" w:lineRule="auto"/>
              <w:jc w:val="center"/>
              <w:rPr>
                <w:rFonts w:cs="Times New Roman"/>
                <w:color w:val="000000"/>
                <w:sz w:val="21"/>
                <w:szCs w:val="21"/>
              </w:rPr>
            </w:pPr>
            <w:r>
              <w:rPr>
                <w:rFonts w:cs="Times New Roman"/>
                <w:color w:val="000000"/>
                <w:sz w:val="21"/>
                <w:szCs w:val="21"/>
              </w:rPr>
              <w:t>九原区</w:t>
            </w:r>
          </w:p>
        </w:tc>
        <w:tc>
          <w:tcPr>
            <w:tcW w:w="512" w:type="pct"/>
            <w:shd w:val="clear" w:color="auto" w:fill="auto"/>
            <w:noWrap/>
            <w:vAlign w:val="center"/>
          </w:tcPr>
          <w:p w14:paraId="41AA8DD0">
            <w:pPr>
              <w:adjustRightInd w:val="0"/>
              <w:spacing w:line="240" w:lineRule="auto"/>
              <w:jc w:val="center"/>
              <w:rPr>
                <w:rFonts w:cs="Times New Roman"/>
                <w:color w:val="000000"/>
                <w:sz w:val="21"/>
                <w:szCs w:val="21"/>
              </w:rPr>
            </w:pPr>
            <w:r>
              <w:rPr>
                <w:rFonts w:cs="Times New Roman"/>
                <w:color w:val="000000"/>
                <w:sz w:val="21"/>
                <w:szCs w:val="21"/>
              </w:rPr>
              <w:t>823</w:t>
            </w:r>
          </w:p>
        </w:tc>
        <w:tc>
          <w:tcPr>
            <w:tcW w:w="396" w:type="pct"/>
            <w:shd w:val="clear" w:color="auto" w:fill="auto"/>
            <w:noWrap/>
            <w:vAlign w:val="center"/>
          </w:tcPr>
          <w:p w14:paraId="470F484B">
            <w:pPr>
              <w:adjustRightInd w:val="0"/>
              <w:spacing w:line="240" w:lineRule="auto"/>
              <w:jc w:val="center"/>
              <w:rPr>
                <w:rFonts w:cs="Times New Roman"/>
                <w:color w:val="000000"/>
                <w:sz w:val="21"/>
                <w:szCs w:val="21"/>
              </w:rPr>
            </w:pPr>
            <w:r>
              <w:rPr>
                <w:rFonts w:cs="Times New Roman"/>
                <w:color w:val="000000"/>
                <w:sz w:val="21"/>
                <w:szCs w:val="21"/>
              </w:rPr>
              <w:t>3618</w:t>
            </w:r>
          </w:p>
        </w:tc>
        <w:tc>
          <w:tcPr>
            <w:tcW w:w="499" w:type="pct"/>
            <w:shd w:val="clear" w:color="auto" w:fill="auto"/>
            <w:noWrap/>
            <w:vAlign w:val="center"/>
          </w:tcPr>
          <w:p w14:paraId="30553605">
            <w:pPr>
              <w:adjustRightInd w:val="0"/>
              <w:spacing w:line="240" w:lineRule="auto"/>
              <w:jc w:val="center"/>
              <w:rPr>
                <w:rFonts w:cs="Times New Roman"/>
                <w:color w:val="000000"/>
                <w:sz w:val="21"/>
                <w:szCs w:val="21"/>
              </w:rPr>
            </w:pPr>
            <w:r>
              <w:rPr>
                <w:rFonts w:cs="Times New Roman"/>
                <w:color w:val="000000"/>
                <w:sz w:val="21"/>
                <w:szCs w:val="21"/>
              </w:rPr>
              <w:t>3799</w:t>
            </w:r>
          </w:p>
        </w:tc>
        <w:tc>
          <w:tcPr>
            <w:tcW w:w="498" w:type="pct"/>
            <w:shd w:val="clear" w:color="auto" w:fill="auto"/>
            <w:noWrap/>
            <w:vAlign w:val="center"/>
          </w:tcPr>
          <w:p w14:paraId="50063050">
            <w:pPr>
              <w:adjustRightInd w:val="0"/>
              <w:spacing w:line="240" w:lineRule="auto"/>
              <w:jc w:val="center"/>
              <w:rPr>
                <w:rFonts w:cs="Times New Roman"/>
                <w:color w:val="000000"/>
                <w:sz w:val="21"/>
                <w:szCs w:val="21"/>
              </w:rPr>
            </w:pPr>
            <w:r>
              <w:rPr>
                <w:rFonts w:cs="Times New Roman"/>
                <w:color w:val="000000"/>
                <w:sz w:val="21"/>
                <w:szCs w:val="21"/>
              </w:rPr>
              <w:t>1056</w:t>
            </w:r>
          </w:p>
        </w:tc>
        <w:tc>
          <w:tcPr>
            <w:tcW w:w="474" w:type="pct"/>
            <w:shd w:val="clear" w:color="auto" w:fill="auto"/>
            <w:noWrap/>
            <w:vAlign w:val="center"/>
          </w:tcPr>
          <w:p w14:paraId="18784661">
            <w:pPr>
              <w:adjustRightInd w:val="0"/>
              <w:spacing w:line="240" w:lineRule="auto"/>
              <w:jc w:val="center"/>
              <w:rPr>
                <w:rFonts w:cs="Times New Roman"/>
                <w:color w:val="000000"/>
                <w:sz w:val="21"/>
                <w:szCs w:val="21"/>
              </w:rPr>
            </w:pPr>
            <w:r>
              <w:rPr>
                <w:rFonts w:cs="Times New Roman"/>
                <w:color w:val="000000"/>
                <w:sz w:val="21"/>
                <w:szCs w:val="21"/>
              </w:rPr>
              <w:t>4026</w:t>
            </w:r>
          </w:p>
        </w:tc>
        <w:tc>
          <w:tcPr>
            <w:tcW w:w="726" w:type="pct"/>
            <w:shd w:val="clear" w:color="auto" w:fill="auto"/>
            <w:noWrap/>
            <w:vAlign w:val="center"/>
          </w:tcPr>
          <w:p w14:paraId="5930BE7E">
            <w:pPr>
              <w:adjustRightInd w:val="0"/>
              <w:spacing w:line="240" w:lineRule="auto"/>
              <w:jc w:val="center"/>
              <w:rPr>
                <w:rFonts w:cs="Times New Roman"/>
                <w:color w:val="000000"/>
                <w:sz w:val="21"/>
                <w:szCs w:val="21"/>
              </w:rPr>
            </w:pPr>
            <w:r>
              <w:rPr>
                <w:rFonts w:cs="Times New Roman"/>
                <w:color w:val="000000"/>
                <w:sz w:val="21"/>
                <w:szCs w:val="21"/>
              </w:rPr>
              <w:t>1977</w:t>
            </w:r>
          </w:p>
        </w:tc>
        <w:tc>
          <w:tcPr>
            <w:tcW w:w="912" w:type="pct"/>
            <w:shd w:val="clear" w:color="auto" w:fill="auto"/>
            <w:noWrap/>
            <w:vAlign w:val="center"/>
          </w:tcPr>
          <w:p w14:paraId="3E08DE03">
            <w:pPr>
              <w:adjustRightInd w:val="0"/>
              <w:spacing w:line="240" w:lineRule="auto"/>
              <w:jc w:val="center"/>
              <w:rPr>
                <w:rFonts w:cs="Times New Roman"/>
                <w:color w:val="000000"/>
                <w:sz w:val="21"/>
                <w:szCs w:val="21"/>
              </w:rPr>
            </w:pPr>
            <w:r>
              <w:rPr>
                <w:rFonts w:cs="Times New Roman"/>
                <w:color w:val="000000"/>
                <w:sz w:val="21"/>
                <w:szCs w:val="21"/>
              </w:rPr>
              <w:t>2085</w:t>
            </w:r>
          </w:p>
        </w:tc>
      </w:tr>
    </w:tbl>
    <w:p w14:paraId="72FC7DCB">
      <w:pPr>
        <w:widowControl/>
        <w:adjustRightInd w:val="0"/>
        <w:spacing w:before="156" w:beforeLines="50"/>
        <w:ind w:firstLine="562" w:firstLineChars="200"/>
        <w:rPr>
          <w:rFonts w:hint="eastAsia" w:ascii="宋体" w:hAnsi="宋体" w:cs="宋体"/>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3 \* GB2 </w:instrText>
      </w:r>
      <w:r>
        <w:rPr>
          <w:rFonts w:hint="eastAsia" w:ascii="宋体" w:hAnsi="宋体" w:cs="宋体"/>
          <w:b/>
          <w:bCs/>
          <w:sz w:val="28"/>
          <w:szCs w:val="28"/>
        </w:rPr>
        <w:fldChar w:fldCharType="separate"/>
      </w:r>
      <w:r>
        <w:rPr>
          <w:rFonts w:hint="eastAsia" w:ascii="宋体" w:hAnsi="宋体" w:cs="宋体"/>
          <w:b/>
          <w:bCs/>
          <w:sz w:val="28"/>
          <w:szCs w:val="28"/>
        </w:rPr>
        <w:t>⑶</w:t>
      </w:r>
      <w:r>
        <w:rPr>
          <w:rFonts w:hint="eastAsia" w:ascii="宋体" w:hAnsi="宋体" w:cs="宋体"/>
          <w:b/>
          <w:bCs/>
          <w:sz w:val="28"/>
          <w:szCs w:val="28"/>
        </w:rPr>
        <w:fldChar w:fldCharType="end"/>
      </w:r>
      <w:r>
        <w:rPr>
          <w:rFonts w:hint="eastAsia" w:ascii="宋体" w:hAnsi="宋体" w:cs="宋体"/>
          <w:b/>
          <w:bCs/>
          <w:sz w:val="28"/>
          <w:szCs w:val="28"/>
        </w:rPr>
        <w:t>水资源开发利用情况</w:t>
      </w:r>
    </w:p>
    <w:p w14:paraId="5B72DBC4">
      <w:pPr>
        <w:widowControl/>
        <w:adjustRightInd w:val="0"/>
        <w:ind w:firstLine="562" w:firstLineChars="200"/>
        <w:rPr>
          <w:rFonts w:cs="Times New Roman"/>
          <w:b/>
          <w:bCs/>
          <w:sz w:val="28"/>
          <w:szCs w:val="28"/>
        </w:rPr>
      </w:pPr>
      <w:bookmarkStart w:id="83" w:name="_Hlk54683076"/>
      <w:r>
        <w:rPr>
          <w:rFonts w:hint="eastAsia" w:cs="Times New Roman"/>
          <w:b/>
          <w:bCs/>
          <w:sz w:val="28"/>
          <w:szCs w:val="28"/>
        </w:rPr>
        <w:t>①地表水供水工程与供水量</w:t>
      </w:r>
    </w:p>
    <w:p w14:paraId="6065D454">
      <w:pPr>
        <w:widowControl/>
        <w:adjustRightInd w:val="0"/>
        <w:ind w:firstLine="560" w:firstLineChars="200"/>
        <w:rPr>
          <w:rFonts w:cs="Times New Roman"/>
          <w:sz w:val="28"/>
          <w:szCs w:val="28"/>
        </w:rPr>
      </w:pPr>
      <w:r>
        <w:rPr>
          <w:rFonts w:hint="eastAsia" w:cs="Times New Roman"/>
          <w:sz w:val="28"/>
          <w:szCs w:val="28"/>
        </w:rPr>
        <w:t>三湖河灌区位于包头市九原区西部，河套灌区下游，灌区始建于1957年，灌区西起包头市九原区与巴彦淖尔市前旗交界，东至包头市九原区哈林格尔镇（退洪渠），北始包兰铁路，南到黄河。灌区东西最长约28.8km，南北最宽约8.8k</w:t>
      </w:r>
      <w:r>
        <w:rPr>
          <w:rFonts w:cs="Times New Roman"/>
          <w:sz w:val="28"/>
          <w:szCs w:val="28"/>
        </w:rPr>
        <w:t>m</w:t>
      </w:r>
      <w:r>
        <w:rPr>
          <w:rFonts w:hint="eastAsia" w:cs="Times New Roman"/>
          <w:sz w:val="28"/>
          <w:szCs w:val="28"/>
        </w:rPr>
        <w:t>，成一狭长地带。</w:t>
      </w:r>
    </w:p>
    <w:p w14:paraId="3D8F8A75">
      <w:pPr>
        <w:widowControl/>
        <w:adjustRightInd w:val="0"/>
        <w:ind w:firstLine="560" w:firstLineChars="200"/>
        <w:rPr>
          <w:rFonts w:cs="Times New Roman"/>
          <w:sz w:val="28"/>
          <w:szCs w:val="28"/>
        </w:rPr>
      </w:pPr>
      <w:r>
        <w:rPr>
          <w:rFonts w:hint="eastAsia" w:cs="Times New Roman"/>
          <w:sz w:val="28"/>
          <w:szCs w:val="28"/>
        </w:rPr>
        <w:t>三湖河灌区为国家重点中型灌区，也是我区粮食生产的主要基地，主要种植农作物有玉米、小麦、葵花等。三湖河灌区设计灌溉面积10.8万亩，有效灌溉10.01万亩。灌区现有两条主干渠（打不素、全巴图主干渠），四条支渠（公济、东大、公益及五一渠），渠道总长度53.45k</w:t>
      </w:r>
      <w:r>
        <w:rPr>
          <w:rFonts w:cs="Times New Roman"/>
          <w:sz w:val="28"/>
          <w:szCs w:val="28"/>
        </w:rPr>
        <w:t>m</w:t>
      </w:r>
      <w:r>
        <w:rPr>
          <w:rFonts w:hint="eastAsia" w:cs="Times New Roman"/>
          <w:sz w:val="28"/>
          <w:szCs w:val="28"/>
        </w:rPr>
        <w:t>。灌区现有两个一级提水泵站，四个二级提水泵站，日最大提水量172.8万m</w:t>
      </w:r>
      <w:r>
        <w:rPr>
          <w:rFonts w:cs="Times New Roman"/>
          <w:sz w:val="28"/>
          <w:szCs w:val="28"/>
          <w:vertAlign w:val="superscript"/>
        </w:rPr>
        <w:t>3</w:t>
      </w:r>
      <w:r>
        <w:rPr>
          <w:rFonts w:hint="eastAsia" w:cs="Times New Roman"/>
          <w:sz w:val="28"/>
          <w:szCs w:val="28"/>
        </w:rPr>
        <w:t>。主要承担哈业胡同、哈林格尔两个乡镇55个自然村、1.16万人、10.01万亩土地的灌溉。2023年三湖河灌区农业计量水量为2280万m</w:t>
      </w:r>
      <w:r>
        <w:rPr>
          <w:rFonts w:hint="eastAsia" w:cs="Times New Roman"/>
          <w:sz w:val="28"/>
          <w:szCs w:val="28"/>
          <w:vertAlign w:val="superscript"/>
        </w:rPr>
        <w:t>3</w:t>
      </w:r>
      <w:r>
        <w:rPr>
          <w:rFonts w:hint="eastAsia" w:cs="Times New Roman"/>
          <w:sz w:val="28"/>
          <w:szCs w:val="28"/>
        </w:rPr>
        <w:t>。</w:t>
      </w:r>
    </w:p>
    <w:p w14:paraId="3E671D12">
      <w:pPr>
        <w:widowControl/>
        <w:adjustRightInd w:val="0"/>
        <w:ind w:firstLine="562" w:firstLineChars="200"/>
        <w:rPr>
          <w:rFonts w:cs="Times New Roman"/>
          <w:b/>
          <w:bCs/>
          <w:sz w:val="28"/>
          <w:szCs w:val="28"/>
        </w:rPr>
      </w:pPr>
      <w:r>
        <w:rPr>
          <w:rFonts w:hint="eastAsia" w:cs="Times New Roman"/>
          <w:b/>
          <w:bCs/>
          <w:sz w:val="28"/>
          <w:szCs w:val="28"/>
        </w:rPr>
        <w:t>②地下水供水工程与供水量</w:t>
      </w:r>
    </w:p>
    <w:p w14:paraId="14D30532">
      <w:pPr>
        <w:widowControl/>
        <w:adjustRightInd w:val="0"/>
        <w:ind w:firstLine="560" w:firstLineChars="200"/>
        <w:rPr>
          <w:rFonts w:cs="Times New Roman"/>
          <w:sz w:val="28"/>
          <w:szCs w:val="28"/>
        </w:rPr>
      </w:pPr>
      <w:bookmarkStart w:id="84" w:name="_Hlk59309314"/>
      <w:r>
        <w:rPr>
          <w:rFonts w:cs="Times New Roman"/>
          <w:sz w:val="28"/>
          <w:szCs w:val="28"/>
        </w:rPr>
        <w:t>现状年（202</w:t>
      </w:r>
      <w:r>
        <w:rPr>
          <w:rFonts w:hint="eastAsia" w:cs="Times New Roman"/>
          <w:sz w:val="28"/>
          <w:szCs w:val="28"/>
        </w:rPr>
        <w:t>3</w:t>
      </w:r>
      <w:r>
        <w:rPr>
          <w:rFonts w:cs="Times New Roman"/>
          <w:sz w:val="28"/>
          <w:szCs w:val="28"/>
        </w:rPr>
        <w:t>年）</w:t>
      </w:r>
      <w:r>
        <w:rPr>
          <w:rFonts w:hint="eastAsia" w:cs="Times New Roman"/>
          <w:sz w:val="28"/>
          <w:szCs w:val="28"/>
        </w:rPr>
        <w:t>九原区本地共有农业灌溉水源井3</w:t>
      </w:r>
      <w:r>
        <w:rPr>
          <w:rFonts w:cs="Times New Roman"/>
          <w:sz w:val="28"/>
          <w:szCs w:val="28"/>
        </w:rPr>
        <w:t>558</w:t>
      </w:r>
      <w:r>
        <w:rPr>
          <w:rFonts w:hint="eastAsia" w:cs="Times New Roman"/>
          <w:sz w:val="28"/>
          <w:szCs w:val="28"/>
        </w:rPr>
        <w:t>眼，主要为农业灌溉地下水水源井和农牧民牲畜养殖及城乡居民安全饮水工程水源井。其中，农业灌溉用水量为4107万m</w:t>
      </w:r>
      <w:r>
        <w:rPr>
          <w:rFonts w:cs="Times New Roman"/>
          <w:sz w:val="28"/>
          <w:szCs w:val="28"/>
          <w:vertAlign w:val="superscript"/>
        </w:rPr>
        <w:t>3</w:t>
      </w:r>
      <w:r>
        <w:rPr>
          <w:rFonts w:hint="eastAsia" w:cs="Times New Roman"/>
          <w:sz w:val="28"/>
          <w:szCs w:val="28"/>
        </w:rPr>
        <w:t>，林地灌溉用水量为310万m</w:t>
      </w:r>
      <w:r>
        <w:rPr>
          <w:rFonts w:cs="Times New Roman"/>
          <w:sz w:val="28"/>
          <w:szCs w:val="28"/>
          <w:vertAlign w:val="superscript"/>
        </w:rPr>
        <w:t>3</w:t>
      </w:r>
      <w:r>
        <w:rPr>
          <w:rFonts w:hint="eastAsia" w:cs="Times New Roman"/>
          <w:sz w:val="28"/>
          <w:szCs w:val="28"/>
        </w:rPr>
        <w:t>，鱼塘补水用水量为334万m</w:t>
      </w:r>
      <w:r>
        <w:rPr>
          <w:rFonts w:cs="Times New Roman"/>
          <w:sz w:val="28"/>
          <w:szCs w:val="28"/>
          <w:vertAlign w:val="superscript"/>
        </w:rPr>
        <w:t>3</w:t>
      </w:r>
      <w:r>
        <w:rPr>
          <w:rFonts w:hint="eastAsia" w:cs="Times New Roman"/>
          <w:sz w:val="28"/>
          <w:szCs w:val="28"/>
        </w:rPr>
        <w:t>，牲畜养殖用水量为367万m</w:t>
      </w:r>
      <w:r>
        <w:rPr>
          <w:rFonts w:cs="Times New Roman"/>
          <w:sz w:val="28"/>
          <w:szCs w:val="28"/>
          <w:vertAlign w:val="superscript"/>
        </w:rPr>
        <w:t>3</w:t>
      </w:r>
      <w:r>
        <w:rPr>
          <w:rFonts w:hint="eastAsia" w:cs="Times New Roman"/>
          <w:sz w:val="28"/>
          <w:szCs w:val="28"/>
        </w:rPr>
        <w:t>，</w:t>
      </w:r>
      <w:r>
        <w:rPr>
          <w:rFonts w:hint="eastAsia" w:cs="Times New Roman"/>
          <w:color w:val="000000" w:themeColor="text1"/>
          <w:sz w:val="28"/>
          <w:szCs w:val="28"/>
          <w14:textFill>
            <w14:solidFill>
              <w14:schemeClr w14:val="tx1"/>
            </w14:solidFill>
          </w14:textFill>
        </w:rPr>
        <w:t>城镇居民生活用水量为447.15万m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，农村居民生活用水量为123.12万m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w:t>
      </w:r>
    </w:p>
    <w:bookmarkEnd w:id="83"/>
    <w:bookmarkEnd w:id="84"/>
    <w:p w14:paraId="098FC2C7">
      <w:pPr>
        <w:widowControl/>
        <w:adjustRightInd w:val="0"/>
        <w:ind w:firstLine="562" w:firstLineChars="200"/>
        <w:rPr>
          <w:rFonts w:cs="Times New Roman"/>
          <w:b/>
          <w:bCs/>
          <w:sz w:val="28"/>
          <w:szCs w:val="28"/>
        </w:rPr>
      </w:pPr>
      <w:r>
        <w:rPr>
          <w:rFonts w:hint="eastAsia" w:cs="Times New Roman"/>
          <w:b/>
          <w:bCs/>
          <w:sz w:val="28"/>
          <w:szCs w:val="28"/>
        </w:rPr>
        <w:t>③</w:t>
      </w:r>
      <w:r>
        <w:rPr>
          <w:rFonts w:cs="Times New Roman"/>
          <w:b/>
          <w:bCs/>
          <w:sz w:val="28"/>
          <w:szCs w:val="28"/>
        </w:rPr>
        <w:t>用水量与用水结构</w:t>
      </w:r>
    </w:p>
    <w:p w14:paraId="42004C6C">
      <w:pPr>
        <w:widowControl/>
        <w:adjustRightInd w:val="0"/>
        <w:ind w:firstLine="560" w:firstLineChars="200"/>
        <w:rPr>
          <w:rFonts w:cs="Times New Roman"/>
          <w:sz w:val="28"/>
          <w:szCs w:val="28"/>
        </w:rPr>
        <w:sectPr>
          <w:headerReference r:id="rId12" w:type="default"/>
          <w:pgSz w:w="11906" w:h="16838"/>
          <w:pgMar w:top="1440" w:right="1800" w:bottom="1440" w:left="1800" w:header="851" w:footer="992" w:gutter="0"/>
          <w:cols w:space="425" w:num="1"/>
          <w:docGrid w:type="lines" w:linePitch="312" w:charSpace="0"/>
        </w:sectPr>
      </w:pPr>
      <w:r>
        <w:rPr>
          <w:rFonts w:hint="eastAsia" w:cs="Times New Roman"/>
          <w:sz w:val="28"/>
          <w:szCs w:val="28"/>
        </w:rPr>
        <w:t>根据包头市九原区水务局提供资料，现状年（20</w:t>
      </w:r>
      <w:r>
        <w:rPr>
          <w:rFonts w:cs="Times New Roman"/>
          <w:sz w:val="28"/>
          <w:szCs w:val="28"/>
        </w:rPr>
        <w:t>2</w:t>
      </w:r>
      <w:r>
        <w:rPr>
          <w:rFonts w:hint="eastAsia" w:cs="Times New Roman"/>
          <w:sz w:val="28"/>
          <w:szCs w:val="28"/>
        </w:rPr>
        <w:t>3年）九原区总用水量为9770.98万m</w:t>
      </w:r>
      <w:r>
        <w:rPr>
          <w:rFonts w:hint="eastAsia" w:cs="Times New Roman"/>
          <w:sz w:val="28"/>
          <w:szCs w:val="28"/>
          <w:vertAlign w:val="superscript"/>
        </w:rPr>
        <w:t>3</w:t>
      </w:r>
      <w:r>
        <w:rPr>
          <w:rFonts w:hint="eastAsia" w:cs="Times New Roman"/>
          <w:sz w:val="28"/>
          <w:szCs w:val="28"/>
        </w:rPr>
        <w:t>，其中生活用水量（含城镇和农村）570.27万m</w:t>
      </w:r>
      <w:r>
        <w:rPr>
          <w:rFonts w:hint="eastAsia" w:cs="Times New Roman"/>
          <w:sz w:val="28"/>
          <w:szCs w:val="28"/>
          <w:vertAlign w:val="superscript"/>
        </w:rPr>
        <w:t>3</w:t>
      </w:r>
      <w:r>
        <w:rPr>
          <w:rFonts w:hint="eastAsia" w:cs="Times New Roman"/>
          <w:sz w:val="28"/>
          <w:szCs w:val="28"/>
        </w:rPr>
        <w:t>，生产用水量8890.71万m</w:t>
      </w:r>
      <w:r>
        <w:rPr>
          <w:rFonts w:hint="eastAsia" w:cs="Times New Roman"/>
          <w:sz w:val="28"/>
          <w:szCs w:val="28"/>
          <w:vertAlign w:val="superscript"/>
        </w:rPr>
        <w:t>3</w:t>
      </w:r>
      <w:r>
        <w:rPr>
          <w:rFonts w:hint="eastAsia" w:cs="Times New Roman"/>
          <w:sz w:val="28"/>
          <w:szCs w:val="28"/>
        </w:rPr>
        <w:t>，生态用水量</w:t>
      </w:r>
      <w:r>
        <w:rPr>
          <w:rFonts w:cs="Times New Roman"/>
          <w:sz w:val="28"/>
          <w:szCs w:val="28"/>
        </w:rPr>
        <w:t>310</w:t>
      </w:r>
      <w:r>
        <w:rPr>
          <w:rFonts w:hint="eastAsia" w:cs="Times New Roman"/>
          <w:sz w:val="28"/>
          <w:szCs w:val="28"/>
        </w:rPr>
        <w:t>万m</w:t>
      </w:r>
      <w:r>
        <w:rPr>
          <w:rFonts w:hint="eastAsia" w:cs="Times New Roman"/>
          <w:sz w:val="28"/>
          <w:szCs w:val="28"/>
          <w:vertAlign w:val="superscript"/>
        </w:rPr>
        <w:t>3</w:t>
      </w:r>
      <w:r>
        <w:rPr>
          <w:rFonts w:hint="eastAsia" w:cs="Times New Roman"/>
          <w:sz w:val="28"/>
          <w:szCs w:val="28"/>
        </w:rPr>
        <w:t>，“三生”用水结构比为</w:t>
      </w:r>
      <w:bookmarkStart w:id="85" w:name="_Hlk59316713"/>
      <w:r>
        <w:rPr>
          <w:rFonts w:cs="Times New Roman"/>
          <w:sz w:val="28"/>
          <w:szCs w:val="28"/>
        </w:rPr>
        <w:t>5.</w:t>
      </w:r>
      <w:r>
        <w:rPr>
          <w:rFonts w:hint="eastAsia" w:cs="Times New Roman"/>
          <w:sz w:val="28"/>
          <w:szCs w:val="28"/>
        </w:rPr>
        <w:t>92：</w:t>
      </w:r>
      <w:r>
        <w:rPr>
          <w:rFonts w:cs="Times New Roman"/>
          <w:sz w:val="28"/>
          <w:szCs w:val="28"/>
        </w:rPr>
        <w:t>9</w:t>
      </w:r>
      <w:r>
        <w:rPr>
          <w:rFonts w:hint="eastAsia" w:cs="Times New Roman"/>
          <w:sz w:val="28"/>
          <w:szCs w:val="28"/>
        </w:rPr>
        <w:t>2.24：</w:t>
      </w:r>
      <w:r>
        <w:rPr>
          <w:rFonts w:cs="Times New Roman"/>
          <w:sz w:val="28"/>
          <w:szCs w:val="28"/>
        </w:rPr>
        <w:t>3.</w:t>
      </w:r>
      <w:bookmarkEnd w:id="85"/>
      <w:r>
        <w:rPr>
          <w:rFonts w:hint="eastAsia" w:cs="Times New Roman"/>
          <w:sz w:val="28"/>
          <w:szCs w:val="28"/>
        </w:rPr>
        <w:t>22；生产用水中，第一产业用水量为</w:t>
      </w:r>
      <w:r>
        <w:rPr>
          <w:rFonts w:cs="Times New Roman"/>
          <w:sz w:val="28"/>
          <w:szCs w:val="28"/>
        </w:rPr>
        <w:t>7398.00</w:t>
      </w:r>
      <w:r>
        <w:rPr>
          <w:rFonts w:hint="eastAsia" w:cs="Times New Roman"/>
          <w:sz w:val="28"/>
          <w:szCs w:val="28"/>
        </w:rPr>
        <w:t>万m</w:t>
      </w:r>
      <w:r>
        <w:rPr>
          <w:rFonts w:hint="eastAsia" w:cs="Times New Roman"/>
          <w:sz w:val="28"/>
          <w:szCs w:val="28"/>
          <w:vertAlign w:val="superscript"/>
        </w:rPr>
        <w:t>3</w:t>
      </w:r>
      <w:r>
        <w:rPr>
          <w:rFonts w:hint="eastAsia" w:cs="Times New Roman"/>
          <w:sz w:val="28"/>
          <w:szCs w:val="28"/>
        </w:rPr>
        <w:t>，第二产业用水量</w:t>
      </w:r>
      <w:r>
        <w:rPr>
          <w:rFonts w:cs="Times New Roman"/>
          <w:sz w:val="28"/>
          <w:szCs w:val="28"/>
        </w:rPr>
        <w:t>1420.25</w:t>
      </w:r>
      <w:r>
        <w:rPr>
          <w:rFonts w:hint="eastAsia" w:cs="Times New Roman"/>
          <w:sz w:val="28"/>
          <w:szCs w:val="28"/>
        </w:rPr>
        <w:t>万m</w:t>
      </w:r>
      <w:r>
        <w:rPr>
          <w:rFonts w:hint="eastAsia" w:cs="Times New Roman"/>
          <w:sz w:val="28"/>
          <w:szCs w:val="28"/>
          <w:vertAlign w:val="superscript"/>
        </w:rPr>
        <w:t>3</w:t>
      </w:r>
      <w:r>
        <w:rPr>
          <w:rFonts w:hint="eastAsia" w:cs="Times New Roman"/>
          <w:sz w:val="28"/>
          <w:szCs w:val="28"/>
        </w:rPr>
        <w:t>，第三产业用水量72.46万m</w:t>
      </w:r>
      <w:r>
        <w:rPr>
          <w:rFonts w:hint="eastAsia" w:cs="Times New Roman"/>
          <w:sz w:val="28"/>
          <w:szCs w:val="28"/>
          <w:vertAlign w:val="superscript"/>
        </w:rPr>
        <w:t>3</w:t>
      </w:r>
      <w:r>
        <w:rPr>
          <w:rFonts w:hint="eastAsia" w:cs="Times New Roman"/>
          <w:sz w:val="28"/>
          <w:szCs w:val="28"/>
        </w:rPr>
        <w:t>，“三次产业”用水结构比为</w:t>
      </w:r>
      <w:r>
        <w:rPr>
          <w:rFonts w:cs="Times New Roman"/>
          <w:sz w:val="28"/>
          <w:szCs w:val="28"/>
        </w:rPr>
        <w:t>83.21</w:t>
      </w:r>
      <w:r>
        <w:rPr>
          <w:rFonts w:hint="eastAsia" w:cs="Times New Roman"/>
          <w:sz w:val="28"/>
          <w:szCs w:val="28"/>
        </w:rPr>
        <w:t>：</w:t>
      </w:r>
      <w:r>
        <w:rPr>
          <w:rFonts w:cs="Times New Roman"/>
          <w:sz w:val="28"/>
          <w:szCs w:val="28"/>
        </w:rPr>
        <w:t>15.98</w:t>
      </w:r>
      <w:r>
        <w:rPr>
          <w:rFonts w:hint="eastAsia" w:cs="Times New Roman"/>
          <w:sz w:val="28"/>
          <w:szCs w:val="28"/>
        </w:rPr>
        <w:t>：</w:t>
      </w:r>
      <w:r>
        <w:rPr>
          <w:rFonts w:cs="Times New Roman"/>
          <w:sz w:val="28"/>
          <w:szCs w:val="28"/>
        </w:rPr>
        <w:t>0.8</w:t>
      </w:r>
      <w:r>
        <w:rPr>
          <w:rFonts w:hint="eastAsia" w:cs="Times New Roman"/>
          <w:sz w:val="28"/>
          <w:szCs w:val="28"/>
        </w:rPr>
        <w:t>2。</w:t>
      </w:r>
    </w:p>
    <w:p w14:paraId="239E5B7D">
      <w:pPr>
        <w:widowControl/>
        <w:adjustRightInd w:val="0"/>
        <w:spacing w:line="240" w:lineRule="auto"/>
        <w:jc w:val="center"/>
        <w:rPr>
          <w:rFonts w:cs="Times New Roman"/>
          <w:b/>
          <w:bCs/>
          <w:sz w:val="28"/>
          <w:szCs w:val="28"/>
        </w:rPr>
      </w:pPr>
      <w:r>
        <w:rPr>
          <w:rFonts w:hint="eastAsia" w:cs="Times New Roman"/>
          <w:b/>
          <w:bCs/>
          <w:sz w:val="28"/>
          <w:szCs w:val="28"/>
        </w:rPr>
        <w:t>表4-2  包头市九原区2023年度用水情况一览表  单位：万m</w:t>
      </w:r>
      <w:r>
        <w:rPr>
          <w:rFonts w:hint="eastAsia" w:cs="Times New Roman"/>
          <w:b/>
          <w:bCs/>
          <w:sz w:val="28"/>
          <w:szCs w:val="28"/>
          <w:vertAlign w:val="superscript"/>
        </w:rPr>
        <w:t>3</w:t>
      </w:r>
    </w:p>
    <w:tbl>
      <w:tblPr>
        <w:tblStyle w:val="19"/>
        <w:tblW w:w="5000" w:type="pct"/>
        <w:tblInd w:w="0" w:type="dxa"/>
        <w:tblLayout w:type="autofit"/>
        <w:tblCellMar>
          <w:top w:w="0" w:type="dxa"/>
          <w:left w:w="108" w:type="dxa"/>
          <w:bottom w:w="0" w:type="dxa"/>
          <w:right w:w="108" w:type="dxa"/>
        </w:tblCellMar>
      </w:tblPr>
      <w:tblGrid>
        <w:gridCol w:w="2143"/>
        <w:gridCol w:w="1180"/>
        <w:gridCol w:w="1180"/>
        <w:gridCol w:w="698"/>
        <w:gridCol w:w="1421"/>
        <w:gridCol w:w="1662"/>
        <w:gridCol w:w="1180"/>
        <w:gridCol w:w="876"/>
        <w:gridCol w:w="1421"/>
        <w:gridCol w:w="1421"/>
        <w:gridCol w:w="996"/>
      </w:tblGrid>
      <w:tr w14:paraId="494716C1">
        <w:tblPrEx>
          <w:tblCellMar>
            <w:top w:w="0" w:type="dxa"/>
            <w:left w:w="108" w:type="dxa"/>
            <w:bottom w:w="0" w:type="dxa"/>
            <w:right w:w="108" w:type="dxa"/>
          </w:tblCellMar>
        </w:tblPrEx>
        <w:trPr>
          <w:trHeight w:val="315" w:hRule="atLeast"/>
        </w:trPr>
        <w:tc>
          <w:tcPr>
            <w:tcW w:w="142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D2888AE">
            <w:pPr>
              <w:widowControl/>
              <w:snapToGrid/>
              <w:spacing w:line="240" w:lineRule="auto"/>
              <w:jc w:val="center"/>
              <w:rPr>
                <w:rFonts w:cs="Times New Roman"/>
                <w:b/>
                <w:bCs/>
                <w:color w:val="000000"/>
                <w:kern w:val="0"/>
                <w:szCs w:val="24"/>
              </w:rPr>
            </w:pPr>
            <w:r>
              <w:rPr>
                <w:rFonts w:cs="Times New Roman"/>
                <w:b/>
                <w:bCs/>
                <w:color w:val="000000"/>
                <w:kern w:val="0"/>
                <w:szCs w:val="24"/>
              </w:rPr>
              <w:t>行政区名称</w:t>
            </w:r>
          </w:p>
        </w:tc>
        <w:tc>
          <w:tcPr>
            <w:tcW w:w="1077" w:type="pct"/>
            <w:gridSpan w:val="3"/>
            <w:tcBorders>
              <w:top w:val="single" w:color="auto" w:sz="4" w:space="0"/>
              <w:left w:val="nil"/>
              <w:bottom w:val="single" w:color="auto" w:sz="4" w:space="0"/>
              <w:right w:val="single" w:color="auto" w:sz="4" w:space="0"/>
            </w:tcBorders>
            <w:shd w:val="clear" w:color="auto" w:fill="auto"/>
            <w:noWrap/>
            <w:vAlign w:val="center"/>
          </w:tcPr>
          <w:p w14:paraId="67103803">
            <w:pPr>
              <w:widowControl/>
              <w:snapToGrid/>
              <w:spacing w:line="240" w:lineRule="auto"/>
              <w:jc w:val="center"/>
              <w:rPr>
                <w:rFonts w:cs="Times New Roman"/>
                <w:b/>
                <w:bCs/>
                <w:color w:val="000000"/>
                <w:kern w:val="0"/>
                <w:szCs w:val="24"/>
              </w:rPr>
            </w:pPr>
            <w:r>
              <w:rPr>
                <w:rFonts w:cs="Times New Roman"/>
                <w:b/>
                <w:bCs/>
                <w:color w:val="000000"/>
                <w:kern w:val="0"/>
                <w:szCs w:val="24"/>
              </w:rPr>
              <w:t>农业用水量</w:t>
            </w:r>
          </w:p>
        </w:tc>
        <w:tc>
          <w:tcPr>
            <w:tcW w:w="36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441C781">
            <w:pPr>
              <w:widowControl/>
              <w:snapToGrid/>
              <w:spacing w:line="240" w:lineRule="auto"/>
              <w:jc w:val="center"/>
              <w:rPr>
                <w:rFonts w:cs="Times New Roman"/>
                <w:b/>
                <w:bCs/>
                <w:color w:val="000000"/>
                <w:kern w:val="0"/>
                <w:szCs w:val="24"/>
              </w:rPr>
            </w:pPr>
            <w:r>
              <w:rPr>
                <w:rFonts w:cs="Times New Roman"/>
                <w:b/>
                <w:bCs/>
                <w:color w:val="000000"/>
                <w:kern w:val="0"/>
                <w:szCs w:val="24"/>
              </w:rPr>
              <w:t>工业用水量</w:t>
            </w:r>
          </w:p>
        </w:tc>
        <w:tc>
          <w:tcPr>
            <w:tcW w:w="1124" w:type="pct"/>
            <w:gridSpan w:val="3"/>
            <w:tcBorders>
              <w:top w:val="single" w:color="auto" w:sz="4" w:space="0"/>
              <w:left w:val="nil"/>
              <w:bottom w:val="single" w:color="auto" w:sz="4" w:space="0"/>
              <w:right w:val="single" w:color="auto" w:sz="4" w:space="0"/>
            </w:tcBorders>
            <w:shd w:val="clear" w:color="auto" w:fill="auto"/>
            <w:noWrap/>
            <w:vAlign w:val="center"/>
          </w:tcPr>
          <w:p w14:paraId="1A8FA47D">
            <w:pPr>
              <w:widowControl/>
              <w:snapToGrid/>
              <w:spacing w:line="240" w:lineRule="auto"/>
              <w:jc w:val="center"/>
              <w:rPr>
                <w:rFonts w:cs="Times New Roman"/>
                <w:b/>
                <w:bCs/>
                <w:color w:val="000000"/>
                <w:kern w:val="0"/>
                <w:szCs w:val="24"/>
              </w:rPr>
            </w:pPr>
            <w:r>
              <w:rPr>
                <w:rFonts w:cs="Times New Roman"/>
                <w:b/>
                <w:bCs/>
                <w:color w:val="000000"/>
                <w:kern w:val="0"/>
                <w:szCs w:val="24"/>
              </w:rPr>
              <w:t>生活用水量</w:t>
            </w:r>
          </w:p>
        </w:tc>
        <w:tc>
          <w:tcPr>
            <w:tcW w:w="361" w:type="pct"/>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14:paraId="13A6165F">
            <w:pPr>
              <w:widowControl/>
              <w:snapToGrid/>
              <w:spacing w:line="240" w:lineRule="auto"/>
              <w:jc w:val="center"/>
              <w:rPr>
                <w:rFonts w:cs="Times New Roman"/>
                <w:b/>
                <w:bCs/>
                <w:color w:val="000000"/>
                <w:kern w:val="0"/>
                <w:szCs w:val="24"/>
              </w:rPr>
            </w:pPr>
            <w:r>
              <w:rPr>
                <w:rFonts w:cs="Times New Roman"/>
                <w:b/>
                <w:bCs/>
                <w:color w:val="000000"/>
                <w:kern w:val="0"/>
                <w:szCs w:val="24"/>
              </w:rPr>
              <w:t>三产用水量</w:t>
            </w:r>
          </w:p>
        </w:tc>
        <w:tc>
          <w:tcPr>
            <w:tcW w:w="37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5B4EE83">
            <w:pPr>
              <w:widowControl/>
              <w:snapToGrid/>
              <w:spacing w:line="240" w:lineRule="auto"/>
              <w:jc w:val="center"/>
              <w:rPr>
                <w:rFonts w:cs="Times New Roman"/>
                <w:b/>
                <w:bCs/>
                <w:color w:val="000000"/>
                <w:kern w:val="0"/>
                <w:szCs w:val="24"/>
              </w:rPr>
            </w:pPr>
            <w:r>
              <w:rPr>
                <w:rFonts w:cs="Times New Roman"/>
                <w:b/>
                <w:bCs/>
                <w:color w:val="000000"/>
                <w:kern w:val="0"/>
                <w:szCs w:val="24"/>
              </w:rPr>
              <w:t>生态用水量</w:t>
            </w:r>
          </w:p>
        </w:tc>
        <w:tc>
          <w:tcPr>
            <w:tcW w:w="28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92EF3AD">
            <w:pPr>
              <w:widowControl/>
              <w:snapToGrid/>
              <w:spacing w:line="240" w:lineRule="auto"/>
              <w:jc w:val="center"/>
              <w:rPr>
                <w:rFonts w:cs="Times New Roman"/>
                <w:b/>
                <w:bCs/>
                <w:color w:val="000000"/>
                <w:kern w:val="0"/>
                <w:szCs w:val="24"/>
              </w:rPr>
            </w:pPr>
            <w:r>
              <w:rPr>
                <w:rFonts w:cs="Times New Roman"/>
                <w:b/>
                <w:bCs/>
                <w:color w:val="000000"/>
                <w:kern w:val="0"/>
                <w:szCs w:val="24"/>
              </w:rPr>
              <w:t>合计</w:t>
            </w:r>
          </w:p>
        </w:tc>
      </w:tr>
      <w:tr w14:paraId="7DEEE38A">
        <w:tblPrEx>
          <w:tblCellMar>
            <w:top w:w="0" w:type="dxa"/>
            <w:left w:w="108" w:type="dxa"/>
            <w:bottom w:w="0" w:type="dxa"/>
            <w:right w:w="108" w:type="dxa"/>
          </w:tblCellMar>
        </w:tblPrEx>
        <w:trPr>
          <w:trHeight w:val="315" w:hRule="atLeast"/>
        </w:trPr>
        <w:tc>
          <w:tcPr>
            <w:tcW w:w="1423" w:type="pct"/>
            <w:vMerge w:val="continue"/>
            <w:tcBorders>
              <w:top w:val="single" w:color="auto" w:sz="4" w:space="0"/>
              <w:left w:val="single" w:color="auto" w:sz="4" w:space="0"/>
              <w:bottom w:val="single" w:color="auto" w:sz="4" w:space="0"/>
              <w:right w:val="single" w:color="auto" w:sz="4" w:space="0"/>
            </w:tcBorders>
            <w:vAlign w:val="center"/>
          </w:tcPr>
          <w:p w14:paraId="4740BAF6">
            <w:pPr>
              <w:widowControl/>
              <w:snapToGrid/>
              <w:spacing w:line="240" w:lineRule="auto"/>
              <w:jc w:val="left"/>
              <w:rPr>
                <w:rFonts w:cs="Times New Roman"/>
                <w:b/>
                <w:bCs/>
                <w:color w:val="000000"/>
                <w:kern w:val="0"/>
                <w:szCs w:val="24"/>
              </w:rPr>
            </w:pPr>
          </w:p>
        </w:tc>
        <w:tc>
          <w:tcPr>
            <w:tcW w:w="428" w:type="pct"/>
            <w:tcBorders>
              <w:top w:val="nil"/>
              <w:left w:val="nil"/>
              <w:bottom w:val="single" w:color="auto" w:sz="4" w:space="0"/>
              <w:right w:val="single" w:color="auto" w:sz="4" w:space="0"/>
            </w:tcBorders>
            <w:shd w:val="clear" w:color="auto" w:fill="auto"/>
            <w:noWrap/>
            <w:vAlign w:val="center"/>
          </w:tcPr>
          <w:p w14:paraId="195148D6">
            <w:pPr>
              <w:widowControl/>
              <w:snapToGrid/>
              <w:spacing w:line="240" w:lineRule="auto"/>
              <w:jc w:val="center"/>
              <w:rPr>
                <w:rFonts w:cs="Times New Roman"/>
                <w:b/>
                <w:bCs/>
                <w:color w:val="000000"/>
                <w:kern w:val="0"/>
                <w:szCs w:val="24"/>
              </w:rPr>
            </w:pPr>
            <w:r>
              <w:rPr>
                <w:rFonts w:cs="Times New Roman"/>
                <w:b/>
                <w:bCs/>
                <w:color w:val="000000"/>
                <w:kern w:val="0"/>
                <w:szCs w:val="24"/>
              </w:rPr>
              <w:t>农田灌溉</w:t>
            </w:r>
          </w:p>
        </w:tc>
        <w:tc>
          <w:tcPr>
            <w:tcW w:w="428" w:type="pct"/>
            <w:tcBorders>
              <w:top w:val="nil"/>
              <w:left w:val="nil"/>
              <w:bottom w:val="single" w:color="auto" w:sz="4" w:space="0"/>
              <w:right w:val="single" w:color="auto" w:sz="4" w:space="0"/>
            </w:tcBorders>
            <w:shd w:val="clear" w:color="auto" w:fill="auto"/>
            <w:noWrap/>
            <w:vAlign w:val="center"/>
          </w:tcPr>
          <w:p w14:paraId="5E63E892">
            <w:pPr>
              <w:widowControl/>
              <w:snapToGrid/>
              <w:spacing w:line="240" w:lineRule="auto"/>
              <w:jc w:val="center"/>
              <w:rPr>
                <w:rFonts w:cs="Times New Roman"/>
                <w:b/>
                <w:bCs/>
                <w:color w:val="000000"/>
                <w:kern w:val="0"/>
                <w:szCs w:val="24"/>
              </w:rPr>
            </w:pPr>
            <w:r>
              <w:rPr>
                <w:rFonts w:cs="Times New Roman"/>
                <w:b/>
                <w:bCs/>
                <w:color w:val="000000"/>
                <w:kern w:val="0"/>
                <w:szCs w:val="24"/>
              </w:rPr>
              <w:t>林牧渔畜</w:t>
            </w:r>
          </w:p>
        </w:tc>
        <w:tc>
          <w:tcPr>
            <w:tcW w:w="221" w:type="pct"/>
            <w:tcBorders>
              <w:top w:val="nil"/>
              <w:left w:val="nil"/>
              <w:bottom w:val="single" w:color="auto" w:sz="4" w:space="0"/>
              <w:right w:val="single" w:color="auto" w:sz="4" w:space="0"/>
            </w:tcBorders>
            <w:shd w:val="clear" w:color="auto" w:fill="auto"/>
            <w:noWrap/>
            <w:vAlign w:val="center"/>
          </w:tcPr>
          <w:p w14:paraId="39DE1709">
            <w:pPr>
              <w:widowControl/>
              <w:snapToGrid/>
              <w:spacing w:line="240" w:lineRule="auto"/>
              <w:jc w:val="center"/>
              <w:rPr>
                <w:rFonts w:cs="Times New Roman"/>
                <w:b/>
                <w:bCs/>
                <w:color w:val="000000"/>
                <w:kern w:val="0"/>
                <w:szCs w:val="24"/>
              </w:rPr>
            </w:pPr>
            <w:r>
              <w:rPr>
                <w:rFonts w:cs="Times New Roman"/>
                <w:b/>
                <w:bCs/>
                <w:color w:val="000000"/>
                <w:kern w:val="0"/>
                <w:szCs w:val="24"/>
              </w:rPr>
              <w:t>小计</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14:paraId="182680A0">
            <w:pPr>
              <w:widowControl/>
              <w:snapToGrid/>
              <w:spacing w:line="240" w:lineRule="auto"/>
              <w:jc w:val="left"/>
              <w:rPr>
                <w:rFonts w:cs="Times New Roman"/>
                <w:b/>
                <w:bCs/>
                <w:color w:val="000000"/>
                <w:kern w:val="0"/>
                <w:szCs w:val="24"/>
              </w:rPr>
            </w:pPr>
          </w:p>
        </w:tc>
        <w:tc>
          <w:tcPr>
            <w:tcW w:w="525" w:type="pct"/>
            <w:tcBorders>
              <w:top w:val="nil"/>
              <w:left w:val="nil"/>
              <w:bottom w:val="single" w:color="auto" w:sz="4" w:space="0"/>
              <w:right w:val="single" w:color="auto" w:sz="4" w:space="0"/>
            </w:tcBorders>
            <w:shd w:val="clear" w:color="auto" w:fill="auto"/>
            <w:noWrap/>
            <w:vAlign w:val="center"/>
          </w:tcPr>
          <w:p w14:paraId="18213120">
            <w:pPr>
              <w:widowControl/>
              <w:snapToGrid/>
              <w:spacing w:line="240" w:lineRule="auto"/>
              <w:jc w:val="center"/>
              <w:rPr>
                <w:rFonts w:cs="Times New Roman"/>
                <w:b/>
                <w:bCs/>
                <w:color w:val="000000"/>
                <w:kern w:val="0"/>
                <w:szCs w:val="24"/>
              </w:rPr>
            </w:pPr>
            <w:r>
              <w:rPr>
                <w:rFonts w:cs="Times New Roman"/>
                <w:b/>
                <w:bCs/>
                <w:color w:val="000000"/>
                <w:kern w:val="0"/>
                <w:szCs w:val="24"/>
              </w:rPr>
              <w:t>城镇综合生活</w:t>
            </w:r>
          </w:p>
        </w:tc>
        <w:tc>
          <w:tcPr>
            <w:tcW w:w="353" w:type="pct"/>
            <w:tcBorders>
              <w:top w:val="nil"/>
              <w:left w:val="nil"/>
              <w:bottom w:val="single" w:color="auto" w:sz="4" w:space="0"/>
              <w:right w:val="single" w:color="auto" w:sz="4" w:space="0"/>
            </w:tcBorders>
            <w:shd w:val="clear" w:color="auto" w:fill="auto"/>
            <w:noWrap/>
            <w:vAlign w:val="center"/>
          </w:tcPr>
          <w:p w14:paraId="4C66588A">
            <w:pPr>
              <w:widowControl/>
              <w:snapToGrid/>
              <w:spacing w:line="240" w:lineRule="auto"/>
              <w:jc w:val="center"/>
              <w:rPr>
                <w:rFonts w:cs="Times New Roman"/>
                <w:b/>
                <w:bCs/>
                <w:color w:val="000000"/>
                <w:kern w:val="0"/>
                <w:szCs w:val="24"/>
              </w:rPr>
            </w:pPr>
            <w:r>
              <w:rPr>
                <w:rFonts w:cs="Times New Roman"/>
                <w:b/>
                <w:bCs/>
                <w:color w:val="000000"/>
                <w:kern w:val="0"/>
                <w:szCs w:val="24"/>
              </w:rPr>
              <w:t>农村生活</w:t>
            </w:r>
          </w:p>
        </w:tc>
        <w:tc>
          <w:tcPr>
            <w:tcW w:w="246" w:type="pct"/>
            <w:tcBorders>
              <w:top w:val="nil"/>
              <w:left w:val="nil"/>
              <w:bottom w:val="single" w:color="auto" w:sz="4" w:space="0"/>
              <w:right w:val="single" w:color="auto" w:sz="4" w:space="0"/>
            </w:tcBorders>
            <w:shd w:val="clear" w:color="auto" w:fill="auto"/>
            <w:noWrap/>
            <w:vAlign w:val="center"/>
          </w:tcPr>
          <w:p w14:paraId="0D5F7DA7">
            <w:pPr>
              <w:widowControl/>
              <w:snapToGrid/>
              <w:spacing w:line="240" w:lineRule="auto"/>
              <w:jc w:val="center"/>
              <w:rPr>
                <w:rFonts w:cs="Times New Roman"/>
                <w:b/>
                <w:bCs/>
                <w:color w:val="000000"/>
                <w:kern w:val="0"/>
                <w:szCs w:val="24"/>
              </w:rPr>
            </w:pPr>
            <w:r>
              <w:rPr>
                <w:rFonts w:cs="Times New Roman"/>
                <w:b/>
                <w:bCs/>
                <w:color w:val="000000"/>
                <w:kern w:val="0"/>
                <w:szCs w:val="24"/>
              </w:rPr>
              <w:t>小计</w:t>
            </w:r>
          </w:p>
        </w:tc>
        <w:tc>
          <w:tcPr>
            <w:tcW w:w="361" w:type="pct"/>
            <w:vMerge w:val="continue"/>
            <w:tcBorders>
              <w:top w:val="single" w:color="auto" w:sz="4" w:space="0"/>
              <w:left w:val="single" w:color="auto" w:sz="4" w:space="0"/>
              <w:bottom w:val="single" w:color="000000" w:sz="4" w:space="0"/>
              <w:right w:val="single" w:color="auto" w:sz="4" w:space="0"/>
            </w:tcBorders>
            <w:vAlign w:val="center"/>
          </w:tcPr>
          <w:p w14:paraId="23642924">
            <w:pPr>
              <w:widowControl/>
              <w:snapToGrid/>
              <w:spacing w:line="240" w:lineRule="auto"/>
              <w:jc w:val="left"/>
              <w:rPr>
                <w:rFonts w:cs="Times New Roman"/>
                <w:b/>
                <w:bCs/>
                <w:color w:val="000000"/>
                <w:kern w:val="0"/>
                <w:szCs w:val="24"/>
              </w:rPr>
            </w:pPr>
          </w:p>
        </w:tc>
        <w:tc>
          <w:tcPr>
            <w:tcW w:w="371" w:type="pct"/>
            <w:vMerge w:val="continue"/>
            <w:tcBorders>
              <w:top w:val="single" w:color="auto" w:sz="4" w:space="0"/>
              <w:left w:val="single" w:color="auto" w:sz="4" w:space="0"/>
              <w:bottom w:val="single" w:color="auto" w:sz="4" w:space="0"/>
              <w:right w:val="single" w:color="auto" w:sz="4" w:space="0"/>
            </w:tcBorders>
            <w:vAlign w:val="center"/>
          </w:tcPr>
          <w:p w14:paraId="548B09C4">
            <w:pPr>
              <w:widowControl/>
              <w:snapToGrid/>
              <w:spacing w:line="240" w:lineRule="auto"/>
              <w:jc w:val="left"/>
              <w:rPr>
                <w:rFonts w:cs="Times New Roman"/>
                <w:b/>
                <w:bCs/>
                <w:color w:val="000000"/>
                <w:kern w:val="0"/>
                <w:szCs w:val="24"/>
              </w:rPr>
            </w:pPr>
          </w:p>
        </w:tc>
        <w:tc>
          <w:tcPr>
            <w:tcW w:w="282" w:type="pct"/>
            <w:vMerge w:val="continue"/>
            <w:tcBorders>
              <w:top w:val="single" w:color="auto" w:sz="4" w:space="0"/>
              <w:left w:val="single" w:color="auto" w:sz="4" w:space="0"/>
              <w:bottom w:val="single" w:color="auto" w:sz="4" w:space="0"/>
              <w:right w:val="single" w:color="auto" w:sz="4" w:space="0"/>
            </w:tcBorders>
            <w:vAlign w:val="center"/>
          </w:tcPr>
          <w:p w14:paraId="75028D2D">
            <w:pPr>
              <w:widowControl/>
              <w:snapToGrid/>
              <w:spacing w:line="240" w:lineRule="auto"/>
              <w:jc w:val="left"/>
              <w:rPr>
                <w:rFonts w:cs="Times New Roman"/>
                <w:b/>
                <w:bCs/>
                <w:color w:val="000000"/>
                <w:kern w:val="0"/>
                <w:szCs w:val="24"/>
              </w:rPr>
            </w:pPr>
          </w:p>
        </w:tc>
      </w:tr>
      <w:tr w14:paraId="6FFAB816">
        <w:tblPrEx>
          <w:tblCellMar>
            <w:top w:w="0" w:type="dxa"/>
            <w:left w:w="108" w:type="dxa"/>
            <w:bottom w:w="0" w:type="dxa"/>
            <w:right w:w="108" w:type="dxa"/>
          </w:tblCellMar>
        </w:tblPrEx>
        <w:trPr>
          <w:trHeight w:val="315" w:hRule="atLeast"/>
        </w:trPr>
        <w:tc>
          <w:tcPr>
            <w:tcW w:w="1423" w:type="pct"/>
            <w:tcBorders>
              <w:top w:val="nil"/>
              <w:left w:val="single" w:color="auto" w:sz="4" w:space="0"/>
              <w:bottom w:val="single" w:color="auto" w:sz="4" w:space="0"/>
              <w:right w:val="single" w:color="auto" w:sz="4" w:space="0"/>
            </w:tcBorders>
            <w:shd w:val="clear" w:color="auto" w:fill="auto"/>
            <w:vAlign w:val="center"/>
          </w:tcPr>
          <w:p w14:paraId="509C306C">
            <w:pPr>
              <w:widowControl/>
              <w:snapToGrid/>
              <w:spacing w:line="240" w:lineRule="auto"/>
              <w:jc w:val="center"/>
              <w:rPr>
                <w:rFonts w:cs="Times New Roman"/>
                <w:color w:val="000000"/>
                <w:kern w:val="0"/>
                <w:szCs w:val="24"/>
              </w:rPr>
            </w:pPr>
            <w:r>
              <w:rPr>
                <w:rFonts w:cs="Times New Roman"/>
                <w:color w:val="000000"/>
                <w:kern w:val="0"/>
                <w:szCs w:val="24"/>
              </w:rPr>
              <w:t>九原区</w:t>
            </w:r>
          </w:p>
        </w:tc>
        <w:tc>
          <w:tcPr>
            <w:tcW w:w="428" w:type="pct"/>
            <w:tcBorders>
              <w:top w:val="nil"/>
              <w:left w:val="nil"/>
              <w:bottom w:val="single" w:color="auto" w:sz="4" w:space="0"/>
              <w:right w:val="single" w:color="auto" w:sz="4" w:space="0"/>
            </w:tcBorders>
            <w:shd w:val="clear" w:color="auto" w:fill="auto"/>
            <w:noWrap/>
            <w:vAlign w:val="center"/>
          </w:tcPr>
          <w:p w14:paraId="12FA92DA">
            <w:pPr>
              <w:widowControl/>
              <w:snapToGrid/>
              <w:spacing w:line="240" w:lineRule="auto"/>
              <w:jc w:val="center"/>
              <w:rPr>
                <w:rFonts w:cs="Times New Roman"/>
                <w:color w:val="000000"/>
                <w:kern w:val="0"/>
                <w:szCs w:val="24"/>
              </w:rPr>
            </w:pPr>
            <w:r>
              <w:rPr>
                <w:rFonts w:cs="Times New Roman"/>
                <w:color w:val="000000"/>
                <w:kern w:val="0"/>
                <w:szCs w:val="24"/>
              </w:rPr>
              <w:t>6387</w:t>
            </w:r>
          </w:p>
        </w:tc>
        <w:tc>
          <w:tcPr>
            <w:tcW w:w="428" w:type="pct"/>
            <w:tcBorders>
              <w:top w:val="nil"/>
              <w:left w:val="nil"/>
              <w:bottom w:val="single" w:color="auto" w:sz="4" w:space="0"/>
              <w:right w:val="single" w:color="auto" w:sz="4" w:space="0"/>
            </w:tcBorders>
            <w:shd w:val="clear" w:color="auto" w:fill="auto"/>
            <w:noWrap/>
            <w:vAlign w:val="center"/>
          </w:tcPr>
          <w:p w14:paraId="31E07316">
            <w:pPr>
              <w:widowControl/>
              <w:snapToGrid/>
              <w:spacing w:line="240" w:lineRule="auto"/>
              <w:jc w:val="center"/>
              <w:rPr>
                <w:rFonts w:cs="Times New Roman"/>
                <w:color w:val="000000"/>
                <w:kern w:val="0"/>
                <w:szCs w:val="24"/>
              </w:rPr>
            </w:pPr>
            <w:r>
              <w:rPr>
                <w:rFonts w:cs="Times New Roman"/>
                <w:color w:val="000000"/>
                <w:kern w:val="0"/>
                <w:szCs w:val="24"/>
              </w:rPr>
              <w:t>1011</w:t>
            </w:r>
          </w:p>
        </w:tc>
        <w:tc>
          <w:tcPr>
            <w:tcW w:w="221" w:type="pct"/>
            <w:tcBorders>
              <w:top w:val="nil"/>
              <w:left w:val="nil"/>
              <w:bottom w:val="single" w:color="auto" w:sz="4" w:space="0"/>
              <w:right w:val="single" w:color="auto" w:sz="4" w:space="0"/>
            </w:tcBorders>
            <w:shd w:val="clear" w:color="auto" w:fill="auto"/>
            <w:noWrap/>
            <w:vAlign w:val="center"/>
          </w:tcPr>
          <w:p w14:paraId="0AABEE2F">
            <w:pPr>
              <w:widowControl/>
              <w:snapToGrid/>
              <w:spacing w:line="240" w:lineRule="auto"/>
              <w:jc w:val="center"/>
              <w:rPr>
                <w:rFonts w:cs="Times New Roman"/>
                <w:color w:val="000000"/>
                <w:kern w:val="0"/>
                <w:szCs w:val="24"/>
              </w:rPr>
            </w:pPr>
            <w:r>
              <w:rPr>
                <w:rFonts w:cs="Times New Roman"/>
                <w:color w:val="000000"/>
                <w:kern w:val="0"/>
                <w:szCs w:val="24"/>
              </w:rPr>
              <w:t>7398</w:t>
            </w:r>
          </w:p>
        </w:tc>
        <w:tc>
          <w:tcPr>
            <w:tcW w:w="361" w:type="pct"/>
            <w:tcBorders>
              <w:top w:val="nil"/>
              <w:left w:val="nil"/>
              <w:bottom w:val="single" w:color="auto" w:sz="4" w:space="0"/>
              <w:right w:val="single" w:color="auto" w:sz="4" w:space="0"/>
            </w:tcBorders>
            <w:shd w:val="clear" w:color="auto" w:fill="auto"/>
            <w:noWrap/>
            <w:vAlign w:val="center"/>
          </w:tcPr>
          <w:p w14:paraId="00DD36BA">
            <w:pPr>
              <w:widowControl/>
              <w:snapToGrid/>
              <w:spacing w:line="240" w:lineRule="auto"/>
              <w:jc w:val="center"/>
              <w:rPr>
                <w:rFonts w:cs="Times New Roman"/>
                <w:color w:val="000000"/>
                <w:kern w:val="0"/>
                <w:szCs w:val="24"/>
              </w:rPr>
            </w:pPr>
            <w:r>
              <w:rPr>
                <w:rFonts w:cs="Times New Roman"/>
                <w:color w:val="000000"/>
                <w:kern w:val="0"/>
                <w:szCs w:val="24"/>
              </w:rPr>
              <w:t>1420.25</w:t>
            </w:r>
          </w:p>
        </w:tc>
        <w:tc>
          <w:tcPr>
            <w:tcW w:w="525" w:type="pct"/>
            <w:tcBorders>
              <w:top w:val="nil"/>
              <w:left w:val="nil"/>
              <w:bottom w:val="single" w:color="auto" w:sz="4" w:space="0"/>
              <w:right w:val="single" w:color="auto" w:sz="4" w:space="0"/>
            </w:tcBorders>
            <w:shd w:val="clear" w:color="auto" w:fill="auto"/>
            <w:noWrap/>
            <w:vAlign w:val="center"/>
          </w:tcPr>
          <w:p w14:paraId="41893325">
            <w:pPr>
              <w:widowControl/>
              <w:snapToGrid/>
              <w:spacing w:line="240" w:lineRule="auto"/>
              <w:jc w:val="center"/>
              <w:rPr>
                <w:rFonts w:cs="Times New Roman"/>
                <w:color w:val="000000"/>
                <w:kern w:val="0"/>
                <w:szCs w:val="24"/>
              </w:rPr>
            </w:pPr>
            <w:r>
              <w:rPr>
                <w:rFonts w:cs="Times New Roman"/>
                <w:color w:val="000000"/>
                <w:kern w:val="0"/>
                <w:szCs w:val="24"/>
              </w:rPr>
              <w:t>447.15</w:t>
            </w:r>
          </w:p>
        </w:tc>
        <w:tc>
          <w:tcPr>
            <w:tcW w:w="353" w:type="pct"/>
            <w:tcBorders>
              <w:top w:val="nil"/>
              <w:left w:val="nil"/>
              <w:bottom w:val="single" w:color="auto" w:sz="4" w:space="0"/>
              <w:right w:val="single" w:color="auto" w:sz="4" w:space="0"/>
            </w:tcBorders>
            <w:shd w:val="clear" w:color="auto" w:fill="auto"/>
            <w:noWrap/>
            <w:vAlign w:val="center"/>
          </w:tcPr>
          <w:p w14:paraId="477BE769">
            <w:pPr>
              <w:widowControl/>
              <w:snapToGrid/>
              <w:spacing w:line="240" w:lineRule="auto"/>
              <w:jc w:val="center"/>
              <w:rPr>
                <w:rFonts w:cs="Times New Roman"/>
                <w:color w:val="000000"/>
                <w:kern w:val="0"/>
                <w:szCs w:val="24"/>
              </w:rPr>
            </w:pPr>
            <w:r>
              <w:rPr>
                <w:rFonts w:cs="Times New Roman"/>
                <w:color w:val="000000"/>
                <w:kern w:val="0"/>
                <w:szCs w:val="24"/>
              </w:rPr>
              <w:t>123.12</w:t>
            </w:r>
          </w:p>
        </w:tc>
        <w:tc>
          <w:tcPr>
            <w:tcW w:w="246" w:type="pct"/>
            <w:tcBorders>
              <w:top w:val="nil"/>
              <w:left w:val="nil"/>
              <w:bottom w:val="single" w:color="auto" w:sz="4" w:space="0"/>
              <w:right w:val="single" w:color="auto" w:sz="4" w:space="0"/>
            </w:tcBorders>
            <w:shd w:val="clear" w:color="auto" w:fill="auto"/>
            <w:noWrap/>
            <w:vAlign w:val="center"/>
          </w:tcPr>
          <w:p w14:paraId="77698BB2">
            <w:pPr>
              <w:widowControl/>
              <w:snapToGrid/>
              <w:spacing w:line="240" w:lineRule="auto"/>
              <w:jc w:val="center"/>
              <w:rPr>
                <w:rFonts w:cs="Times New Roman"/>
                <w:color w:val="000000"/>
                <w:kern w:val="0"/>
                <w:szCs w:val="24"/>
              </w:rPr>
            </w:pPr>
            <w:r>
              <w:rPr>
                <w:rFonts w:cs="Times New Roman"/>
                <w:color w:val="000000"/>
                <w:kern w:val="0"/>
                <w:szCs w:val="24"/>
              </w:rPr>
              <w:t>570.27</w:t>
            </w:r>
          </w:p>
        </w:tc>
        <w:tc>
          <w:tcPr>
            <w:tcW w:w="361" w:type="pct"/>
            <w:tcBorders>
              <w:top w:val="nil"/>
              <w:left w:val="nil"/>
              <w:bottom w:val="single" w:color="auto" w:sz="4" w:space="0"/>
              <w:right w:val="single" w:color="auto" w:sz="4" w:space="0"/>
            </w:tcBorders>
            <w:shd w:val="clear" w:color="auto" w:fill="auto"/>
            <w:noWrap/>
            <w:vAlign w:val="center"/>
          </w:tcPr>
          <w:p w14:paraId="272122BA">
            <w:pPr>
              <w:widowControl/>
              <w:snapToGrid/>
              <w:spacing w:line="240" w:lineRule="auto"/>
              <w:jc w:val="center"/>
              <w:rPr>
                <w:rFonts w:cs="Times New Roman"/>
                <w:color w:val="000000"/>
                <w:kern w:val="0"/>
                <w:szCs w:val="24"/>
              </w:rPr>
            </w:pPr>
            <w:r>
              <w:rPr>
                <w:rFonts w:cs="Times New Roman"/>
                <w:color w:val="000000"/>
                <w:kern w:val="0"/>
                <w:szCs w:val="24"/>
              </w:rPr>
              <w:t>72.46</w:t>
            </w:r>
          </w:p>
        </w:tc>
        <w:tc>
          <w:tcPr>
            <w:tcW w:w="371" w:type="pct"/>
            <w:tcBorders>
              <w:top w:val="nil"/>
              <w:left w:val="nil"/>
              <w:bottom w:val="single" w:color="auto" w:sz="4" w:space="0"/>
              <w:right w:val="single" w:color="auto" w:sz="4" w:space="0"/>
            </w:tcBorders>
            <w:shd w:val="clear" w:color="auto" w:fill="auto"/>
            <w:noWrap/>
            <w:vAlign w:val="center"/>
          </w:tcPr>
          <w:p w14:paraId="3D3E052C">
            <w:pPr>
              <w:widowControl/>
              <w:snapToGrid/>
              <w:spacing w:line="240" w:lineRule="auto"/>
              <w:jc w:val="center"/>
              <w:rPr>
                <w:rFonts w:cs="Times New Roman"/>
                <w:color w:val="000000"/>
                <w:kern w:val="0"/>
                <w:szCs w:val="24"/>
              </w:rPr>
            </w:pPr>
            <w:r>
              <w:rPr>
                <w:rFonts w:cs="Times New Roman"/>
                <w:color w:val="000000"/>
                <w:kern w:val="0"/>
                <w:szCs w:val="24"/>
              </w:rPr>
              <w:t>310</w:t>
            </w:r>
          </w:p>
        </w:tc>
        <w:tc>
          <w:tcPr>
            <w:tcW w:w="282" w:type="pct"/>
            <w:tcBorders>
              <w:top w:val="nil"/>
              <w:left w:val="nil"/>
              <w:bottom w:val="single" w:color="auto" w:sz="4" w:space="0"/>
              <w:right w:val="single" w:color="auto" w:sz="4" w:space="0"/>
            </w:tcBorders>
            <w:shd w:val="clear" w:color="auto" w:fill="auto"/>
            <w:noWrap/>
            <w:vAlign w:val="center"/>
          </w:tcPr>
          <w:p w14:paraId="0F594D64">
            <w:pPr>
              <w:widowControl/>
              <w:snapToGrid/>
              <w:spacing w:line="240" w:lineRule="auto"/>
              <w:jc w:val="center"/>
              <w:rPr>
                <w:rFonts w:cs="Times New Roman"/>
                <w:color w:val="000000"/>
                <w:kern w:val="0"/>
                <w:szCs w:val="24"/>
              </w:rPr>
            </w:pPr>
            <w:r>
              <w:rPr>
                <w:rFonts w:cs="Times New Roman"/>
                <w:color w:val="000000"/>
                <w:kern w:val="0"/>
                <w:szCs w:val="24"/>
              </w:rPr>
              <w:t>9770.98</w:t>
            </w:r>
          </w:p>
        </w:tc>
      </w:tr>
    </w:tbl>
    <w:p w14:paraId="594CACF7">
      <w:pPr>
        <w:widowControl/>
        <w:adjustRightInd w:val="0"/>
        <w:spacing w:before="163" w:beforeLines="50"/>
        <w:rPr>
          <w:rFonts w:hint="eastAsia" w:ascii="宋体" w:hAnsi="宋体" w:cs="宋体"/>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5 \* GB2 </w:instrText>
      </w:r>
      <w:r>
        <w:rPr>
          <w:rFonts w:hint="eastAsia" w:ascii="宋体" w:hAnsi="宋体" w:cs="宋体"/>
          <w:b/>
          <w:bCs/>
          <w:sz w:val="28"/>
          <w:szCs w:val="28"/>
        </w:rPr>
        <w:fldChar w:fldCharType="separate"/>
      </w:r>
      <w:r>
        <w:rPr>
          <w:rFonts w:hint="eastAsia" w:ascii="宋体" w:hAnsi="宋体" w:cs="宋体"/>
          <w:b/>
          <w:bCs/>
          <w:sz w:val="28"/>
          <w:szCs w:val="28"/>
        </w:rPr>
        <w:t>⑸</w:t>
      </w:r>
      <w:r>
        <w:rPr>
          <w:rFonts w:hint="eastAsia" w:ascii="宋体" w:hAnsi="宋体" w:cs="宋体"/>
          <w:b/>
          <w:bCs/>
          <w:sz w:val="28"/>
          <w:szCs w:val="28"/>
        </w:rPr>
        <w:fldChar w:fldCharType="end"/>
      </w:r>
      <w:r>
        <w:rPr>
          <w:rFonts w:hint="eastAsia" w:ascii="宋体" w:hAnsi="宋体" w:cs="宋体"/>
          <w:b/>
          <w:bCs/>
          <w:sz w:val="28"/>
          <w:szCs w:val="28"/>
        </w:rPr>
        <w:t>用水水平分析</w:t>
      </w:r>
    </w:p>
    <w:p w14:paraId="33FCC654">
      <w:pPr>
        <w:widowControl/>
        <w:adjustRightInd w:val="0"/>
        <w:rPr>
          <w:rFonts w:hint="eastAsia" w:hAnsiTheme="minorEastAsia" w:eastAsiaTheme="minorEastAsia"/>
        </w:rPr>
      </w:pPr>
      <w:r>
        <w:rPr>
          <w:rFonts w:hint="eastAsia" w:cs="Times New Roman"/>
          <w:sz w:val="28"/>
          <w:szCs w:val="28"/>
        </w:rPr>
        <w:t>根据包头市九原区水务局提供2</w:t>
      </w:r>
      <w:r>
        <w:rPr>
          <w:rFonts w:cs="Times New Roman"/>
          <w:sz w:val="28"/>
          <w:szCs w:val="28"/>
        </w:rPr>
        <w:t>02</w:t>
      </w:r>
      <w:r>
        <w:rPr>
          <w:rFonts w:hint="eastAsia" w:cs="Times New Roman"/>
          <w:sz w:val="28"/>
          <w:szCs w:val="28"/>
        </w:rPr>
        <w:t>3年数据</w:t>
      </w:r>
      <w:r>
        <w:rPr>
          <w:rFonts w:cs="Times New Roman"/>
          <w:sz w:val="28"/>
          <w:szCs w:val="28"/>
        </w:rPr>
        <w:t>，经计算，现状年</w:t>
      </w:r>
      <w:r>
        <w:rPr>
          <w:rFonts w:hint="eastAsia" w:cs="Times New Roman"/>
          <w:sz w:val="28"/>
          <w:szCs w:val="28"/>
        </w:rPr>
        <w:t>九原区</w:t>
      </w:r>
      <w:r>
        <w:rPr>
          <w:rFonts w:cs="Times New Roman"/>
          <w:sz w:val="28"/>
          <w:szCs w:val="28"/>
        </w:rPr>
        <w:t>各项用水指标详见表</w:t>
      </w:r>
      <w:r>
        <w:rPr>
          <w:rFonts w:hint="eastAsia" w:cs="Times New Roman"/>
          <w:sz w:val="28"/>
          <w:szCs w:val="28"/>
        </w:rPr>
        <w:t>4-3</w:t>
      </w:r>
      <w:r>
        <w:rPr>
          <w:rFonts w:cs="Times New Roman"/>
          <w:sz w:val="28"/>
          <w:szCs w:val="28"/>
        </w:rPr>
        <w:t>。</w:t>
      </w:r>
    </w:p>
    <w:p w14:paraId="03515897">
      <w:pPr>
        <w:widowControl/>
        <w:adjustRightInd w:val="0"/>
        <w:spacing w:line="240" w:lineRule="auto"/>
        <w:jc w:val="center"/>
        <w:rPr>
          <w:rFonts w:cs="Times New Roman"/>
          <w:b/>
          <w:bCs/>
          <w:sz w:val="28"/>
          <w:szCs w:val="28"/>
        </w:rPr>
      </w:pPr>
      <w:r>
        <w:rPr>
          <w:rFonts w:cs="Times New Roman"/>
          <w:b/>
          <w:bCs/>
          <w:sz w:val="28"/>
          <w:szCs w:val="28"/>
        </w:rPr>
        <w:t>表</w:t>
      </w:r>
      <w:r>
        <w:rPr>
          <w:rFonts w:hint="eastAsia" w:cs="Times New Roman"/>
          <w:b/>
          <w:bCs/>
          <w:sz w:val="28"/>
          <w:szCs w:val="28"/>
        </w:rPr>
        <w:t>4</w:t>
      </w:r>
      <w:r>
        <w:rPr>
          <w:rFonts w:cs="Times New Roman"/>
          <w:b/>
          <w:bCs/>
          <w:sz w:val="28"/>
          <w:szCs w:val="28"/>
        </w:rPr>
        <w:t>-</w:t>
      </w:r>
      <w:r>
        <w:rPr>
          <w:rFonts w:hint="eastAsia" w:cs="Times New Roman"/>
          <w:b/>
          <w:bCs/>
          <w:sz w:val="28"/>
          <w:szCs w:val="28"/>
        </w:rPr>
        <w:t>3</w:t>
      </w:r>
      <w:r>
        <w:rPr>
          <w:rFonts w:cs="Times New Roman"/>
          <w:b/>
          <w:bCs/>
          <w:sz w:val="28"/>
          <w:szCs w:val="28"/>
        </w:rPr>
        <w:t xml:space="preserve">  </w:t>
      </w:r>
      <w:r>
        <w:rPr>
          <w:rFonts w:hint="eastAsia" w:cs="Times New Roman"/>
          <w:b/>
          <w:bCs/>
          <w:sz w:val="28"/>
          <w:szCs w:val="28"/>
        </w:rPr>
        <w:t>现状年（</w:t>
      </w:r>
      <w:r>
        <w:rPr>
          <w:rFonts w:cs="Times New Roman"/>
          <w:b/>
          <w:bCs/>
          <w:sz w:val="28"/>
          <w:szCs w:val="28"/>
        </w:rPr>
        <w:t>202</w:t>
      </w:r>
      <w:r>
        <w:rPr>
          <w:rFonts w:hint="eastAsia" w:cs="Times New Roman"/>
          <w:b/>
          <w:bCs/>
          <w:sz w:val="28"/>
          <w:szCs w:val="28"/>
        </w:rPr>
        <w:t>3年）九原区用水指标计算表</w:t>
      </w:r>
      <w:r>
        <w:rPr>
          <w:rFonts w:cs="Times New Roman"/>
          <w:b/>
          <w:bCs/>
          <w:sz w:val="28"/>
          <w:szCs w:val="28"/>
        </w:rPr>
        <w:t xml:space="preserve"> </w:t>
      </w:r>
      <w:r>
        <w:rPr>
          <w:rFonts w:hint="eastAsia" w:cs="Times New Roman"/>
          <w:b/>
          <w:bCs/>
          <w:sz w:val="28"/>
          <w:szCs w:val="28"/>
        </w:rPr>
        <w:t xml:space="preserve"> </w:t>
      </w:r>
      <w:bookmarkStart w:id="86" w:name="_Hlk62809575"/>
      <w:r>
        <w:rPr>
          <w:rFonts w:hint="eastAsia" w:cs="Times New Roman"/>
          <w:b/>
          <w:bCs/>
          <w:sz w:val="28"/>
          <w:szCs w:val="28"/>
        </w:rPr>
        <w:t>单位：</w:t>
      </w:r>
      <w:r>
        <w:rPr>
          <w:rFonts w:cs="Times New Roman"/>
          <w:b/>
          <w:bCs/>
          <w:sz w:val="28"/>
          <w:szCs w:val="28"/>
        </w:rPr>
        <w:t>万m</w:t>
      </w:r>
      <w:r>
        <w:rPr>
          <w:rFonts w:cs="Times New Roman"/>
          <w:b/>
          <w:bCs/>
          <w:sz w:val="28"/>
          <w:szCs w:val="28"/>
          <w:vertAlign w:val="superscript"/>
        </w:rPr>
        <w:t>3</w:t>
      </w:r>
      <w:bookmarkEnd w:id="86"/>
    </w:p>
    <w:tbl>
      <w:tblPr>
        <w:tblStyle w:val="19"/>
        <w:tblW w:w="5000" w:type="pct"/>
        <w:tblInd w:w="0" w:type="dxa"/>
        <w:tblLayout w:type="autofit"/>
        <w:tblCellMar>
          <w:top w:w="0" w:type="dxa"/>
          <w:left w:w="108" w:type="dxa"/>
          <w:bottom w:w="0" w:type="dxa"/>
          <w:right w:w="108" w:type="dxa"/>
        </w:tblCellMar>
      </w:tblPr>
      <w:tblGrid>
        <w:gridCol w:w="2791"/>
        <w:gridCol w:w="4468"/>
        <w:gridCol w:w="1117"/>
        <w:gridCol w:w="1134"/>
        <w:gridCol w:w="1134"/>
        <w:gridCol w:w="1134"/>
        <w:gridCol w:w="1395"/>
        <w:gridCol w:w="1001"/>
      </w:tblGrid>
      <w:tr w14:paraId="22C3A1D5">
        <w:tblPrEx>
          <w:tblCellMar>
            <w:top w:w="0" w:type="dxa"/>
            <w:left w:w="108" w:type="dxa"/>
            <w:bottom w:w="0" w:type="dxa"/>
            <w:right w:w="108" w:type="dxa"/>
          </w:tblCellMar>
        </w:tblPrEx>
        <w:trPr>
          <w:trHeight w:val="20" w:hRule="atLeast"/>
        </w:trPr>
        <w:tc>
          <w:tcPr>
            <w:tcW w:w="2561" w:type="pct"/>
            <w:gridSpan w:val="2"/>
            <w:vMerge w:val="restart"/>
            <w:tcBorders>
              <w:top w:val="single" w:color="auto" w:sz="4" w:space="0"/>
              <w:left w:val="single" w:color="auto" w:sz="4" w:space="0"/>
              <w:bottom w:val="single" w:color="auto" w:sz="4" w:space="0"/>
              <w:right w:val="single" w:color="auto" w:sz="4" w:space="0"/>
            </w:tcBorders>
            <w:shd w:val="clear" w:color="000000" w:fill="FFFFFF"/>
            <w:vAlign w:val="center"/>
          </w:tcPr>
          <w:p w14:paraId="2E35515E">
            <w:pPr>
              <w:widowControl/>
              <w:adjustRightInd w:val="0"/>
              <w:spacing w:line="240" w:lineRule="auto"/>
              <w:jc w:val="center"/>
              <w:rPr>
                <w:rFonts w:eastAsia="等线" w:cs="Times New Roman"/>
                <w:color w:val="000000"/>
                <w:kern w:val="0"/>
                <w:sz w:val="22"/>
              </w:rPr>
            </w:pPr>
            <w:bookmarkStart w:id="87" w:name="RANGE!E27"/>
            <w:r>
              <w:rPr>
                <w:rFonts w:hint="eastAsia" w:ascii="宋体" w:hAnsi="宋体" w:cs="Times New Roman"/>
                <w:color w:val="000000"/>
                <w:kern w:val="0"/>
                <w:sz w:val="22"/>
              </w:rPr>
              <w:t>项目</w:t>
            </w:r>
            <w:bookmarkEnd w:id="87"/>
          </w:p>
        </w:tc>
        <w:tc>
          <w:tcPr>
            <w:tcW w:w="1194" w:type="pct"/>
            <w:gridSpan w:val="3"/>
            <w:tcBorders>
              <w:top w:val="single" w:color="auto" w:sz="4" w:space="0"/>
              <w:left w:val="nil"/>
              <w:bottom w:val="single" w:color="auto" w:sz="4" w:space="0"/>
              <w:right w:val="single" w:color="auto" w:sz="4" w:space="0"/>
            </w:tcBorders>
            <w:shd w:val="clear" w:color="000000" w:fill="FFFFFF"/>
            <w:vAlign w:val="center"/>
          </w:tcPr>
          <w:p w14:paraId="4E7F445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社会经济指标</w:t>
            </w:r>
          </w:p>
        </w:tc>
        <w:tc>
          <w:tcPr>
            <w:tcW w:w="400" w:type="pct"/>
            <w:tcBorders>
              <w:top w:val="single" w:color="auto" w:sz="4" w:space="0"/>
              <w:left w:val="nil"/>
              <w:bottom w:val="single" w:color="auto" w:sz="4" w:space="0"/>
              <w:right w:val="single" w:color="auto" w:sz="4" w:space="0"/>
            </w:tcBorders>
            <w:shd w:val="clear" w:color="000000" w:fill="FFFFFF"/>
            <w:vAlign w:val="center"/>
          </w:tcPr>
          <w:p w14:paraId="036D7222">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用水量</w:t>
            </w:r>
          </w:p>
        </w:tc>
        <w:tc>
          <w:tcPr>
            <w:tcW w:w="845" w:type="pct"/>
            <w:gridSpan w:val="2"/>
            <w:tcBorders>
              <w:top w:val="single" w:color="auto" w:sz="4" w:space="0"/>
              <w:left w:val="nil"/>
              <w:bottom w:val="single" w:color="auto" w:sz="4" w:space="0"/>
              <w:right w:val="single" w:color="auto" w:sz="4" w:space="0"/>
            </w:tcBorders>
            <w:shd w:val="clear" w:color="000000" w:fill="FFFFFF"/>
            <w:vAlign w:val="center"/>
          </w:tcPr>
          <w:p w14:paraId="18C0427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用水水平</w:t>
            </w:r>
          </w:p>
        </w:tc>
      </w:tr>
      <w:tr w14:paraId="73247988">
        <w:tblPrEx>
          <w:tblCellMar>
            <w:top w:w="0" w:type="dxa"/>
            <w:left w:w="108" w:type="dxa"/>
            <w:bottom w:w="0" w:type="dxa"/>
            <w:right w:w="108" w:type="dxa"/>
          </w:tblCellMar>
        </w:tblPrEx>
        <w:trPr>
          <w:trHeight w:val="20" w:hRule="atLeast"/>
        </w:trPr>
        <w:tc>
          <w:tcPr>
            <w:tcW w:w="2561" w:type="pct"/>
            <w:gridSpan w:val="2"/>
            <w:vMerge w:val="continue"/>
            <w:tcBorders>
              <w:top w:val="single" w:color="auto" w:sz="4" w:space="0"/>
              <w:left w:val="single" w:color="auto" w:sz="4" w:space="0"/>
              <w:bottom w:val="single" w:color="auto" w:sz="4" w:space="0"/>
              <w:right w:val="single" w:color="auto" w:sz="4" w:space="0"/>
            </w:tcBorders>
            <w:vAlign w:val="center"/>
          </w:tcPr>
          <w:p w14:paraId="46243BD9">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7718DB01">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指标</w:t>
            </w:r>
          </w:p>
        </w:tc>
        <w:tc>
          <w:tcPr>
            <w:tcW w:w="400" w:type="pct"/>
            <w:tcBorders>
              <w:top w:val="nil"/>
              <w:left w:val="nil"/>
              <w:bottom w:val="single" w:color="auto" w:sz="4" w:space="0"/>
              <w:right w:val="single" w:color="auto" w:sz="4" w:space="0"/>
            </w:tcBorders>
            <w:shd w:val="clear" w:color="000000" w:fill="FFFFFF"/>
            <w:vAlign w:val="center"/>
          </w:tcPr>
          <w:p w14:paraId="0F96BA24">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单位</w:t>
            </w:r>
          </w:p>
        </w:tc>
        <w:tc>
          <w:tcPr>
            <w:tcW w:w="400" w:type="pct"/>
            <w:tcBorders>
              <w:top w:val="nil"/>
              <w:left w:val="nil"/>
              <w:bottom w:val="single" w:color="auto" w:sz="4" w:space="0"/>
              <w:right w:val="single" w:color="auto" w:sz="4" w:space="0"/>
            </w:tcBorders>
            <w:shd w:val="clear" w:color="000000" w:fill="FFFFFF"/>
            <w:vAlign w:val="center"/>
          </w:tcPr>
          <w:p w14:paraId="246FA57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数量</w:t>
            </w:r>
          </w:p>
        </w:tc>
        <w:tc>
          <w:tcPr>
            <w:tcW w:w="400" w:type="pct"/>
            <w:tcBorders>
              <w:top w:val="nil"/>
              <w:left w:val="nil"/>
              <w:bottom w:val="single" w:color="auto" w:sz="4" w:space="0"/>
              <w:right w:val="single" w:color="auto" w:sz="4" w:space="0"/>
            </w:tcBorders>
            <w:shd w:val="clear" w:color="000000" w:fill="FFFFFF"/>
            <w:vAlign w:val="center"/>
          </w:tcPr>
          <w:p w14:paraId="6A2B640D">
            <w:pPr>
              <w:widowControl/>
              <w:adjustRightInd w:val="0"/>
              <w:spacing w:line="240" w:lineRule="auto"/>
              <w:rPr>
                <w:rFonts w:eastAsia="等线" w:cs="Times New Roman"/>
                <w:color w:val="000000"/>
                <w:kern w:val="0"/>
                <w:sz w:val="22"/>
              </w:rPr>
            </w:pPr>
            <w:r>
              <w:rPr>
                <w:rFonts w:hint="eastAsia" w:ascii="宋体" w:hAnsi="宋体" w:cs="Times New Roman"/>
                <w:color w:val="000000"/>
                <w:kern w:val="0"/>
                <w:sz w:val="22"/>
              </w:rPr>
              <w:t>（万</w:t>
            </w:r>
            <w:r>
              <w:rPr>
                <w:rFonts w:eastAsia="等线" w:cs="Times New Roman"/>
                <w:color w:val="000000"/>
                <w:kern w:val="0"/>
                <w:sz w:val="22"/>
              </w:rPr>
              <w:t>m</w:t>
            </w:r>
            <w:r>
              <w:rPr>
                <w:rFonts w:eastAsia="等线" w:cs="Times New Roman"/>
                <w:color w:val="000000"/>
                <w:kern w:val="0"/>
                <w:sz w:val="22"/>
                <w:vertAlign w:val="superscript"/>
              </w:rPr>
              <w:t>3</w:t>
            </w:r>
            <w:r>
              <w:rPr>
                <w:rFonts w:hint="eastAsia" w:ascii="宋体" w:hAnsi="宋体" w:cs="Times New Roman"/>
                <w:color w:val="000000"/>
                <w:kern w:val="0"/>
                <w:sz w:val="22"/>
              </w:rPr>
              <w:t>）</w:t>
            </w:r>
          </w:p>
        </w:tc>
        <w:tc>
          <w:tcPr>
            <w:tcW w:w="492" w:type="pct"/>
            <w:tcBorders>
              <w:top w:val="nil"/>
              <w:left w:val="nil"/>
              <w:bottom w:val="single" w:color="auto" w:sz="4" w:space="0"/>
              <w:right w:val="single" w:color="auto" w:sz="4" w:space="0"/>
            </w:tcBorders>
            <w:shd w:val="clear" w:color="000000" w:fill="FFFFFF"/>
            <w:vAlign w:val="center"/>
          </w:tcPr>
          <w:p w14:paraId="1DAA2BC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单位</w:t>
            </w:r>
          </w:p>
        </w:tc>
        <w:tc>
          <w:tcPr>
            <w:tcW w:w="353" w:type="pct"/>
            <w:tcBorders>
              <w:top w:val="nil"/>
              <w:left w:val="nil"/>
              <w:bottom w:val="single" w:color="auto" w:sz="4" w:space="0"/>
              <w:right w:val="single" w:color="auto" w:sz="4" w:space="0"/>
            </w:tcBorders>
            <w:shd w:val="clear" w:color="000000" w:fill="FFFFFF"/>
            <w:vAlign w:val="center"/>
          </w:tcPr>
          <w:p w14:paraId="245F329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数量</w:t>
            </w:r>
          </w:p>
        </w:tc>
      </w:tr>
      <w:tr w14:paraId="4B85B799">
        <w:tblPrEx>
          <w:tblCellMar>
            <w:top w:w="0" w:type="dxa"/>
            <w:left w:w="108" w:type="dxa"/>
            <w:bottom w:w="0" w:type="dxa"/>
            <w:right w:w="108" w:type="dxa"/>
          </w:tblCellMar>
        </w:tblPrEx>
        <w:trPr>
          <w:trHeight w:val="20" w:hRule="atLeast"/>
        </w:trPr>
        <w:tc>
          <w:tcPr>
            <w:tcW w:w="985" w:type="pct"/>
            <w:vMerge w:val="restart"/>
            <w:tcBorders>
              <w:top w:val="nil"/>
              <w:left w:val="single" w:color="auto" w:sz="4" w:space="0"/>
              <w:bottom w:val="single" w:color="auto" w:sz="4" w:space="0"/>
              <w:right w:val="single" w:color="auto" w:sz="4" w:space="0"/>
            </w:tcBorders>
            <w:shd w:val="clear" w:color="000000" w:fill="FFFFFF"/>
            <w:vAlign w:val="center"/>
          </w:tcPr>
          <w:p w14:paraId="59575CD4">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第一产业</w:t>
            </w:r>
          </w:p>
        </w:tc>
        <w:tc>
          <w:tcPr>
            <w:tcW w:w="1576" w:type="pct"/>
            <w:vMerge w:val="restart"/>
            <w:tcBorders>
              <w:top w:val="nil"/>
              <w:left w:val="single" w:color="auto" w:sz="4" w:space="0"/>
              <w:bottom w:val="single" w:color="000000" w:sz="4" w:space="0"/>
              <w:right w:val="single" w:color="auto" w:sz="4" w:space="0"/>
            </w:tcBorders>
            <w:shd w:val="clear" w:color="000000" w:fill="FFFFFF"/>
            <w:vAlign w:val="center"/>
          </w:tcPr>
          <w:p w14:paraId="079105C3">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灌溉业</w:t>
            </w:r>
          </w:p>
        </w:tc>
        <w:tc>
          <w:tcPr>
            <w:tcW w:w="394" w:type="pct"/>
            <w:tcBorders>
              <w:top w:val="nil"/>
              <w:left w:val="nil"/>
              <w:bottom w:val="single" w:color="auto" w:sz="4" w:space="0"/>
              <w:right w:val="single" w:color="auto" w:sz="4" w:space="0"/>
            </w:tcBorders>
            <w:shd w:val="clear" w:color="000000" w:fill="FFFFFF"/>
            <w:vAlign w:val="center"/>
          </w:tcPr>
          <w:p w14:paraId="6196CE0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农田</w:t>
            </w:r>
          </w:p>
        </w:tc>
        <w:tc>
          <w:tcPr>
            <w:tcW w:w="400" w:type="pct"/>
            <w:tcBorders>
              <w:top w:val="nil"/>
              <w:left w:val="nil"/>
              <w:bottom w:val="single" w:color="auto" w:sz="4" w:space="0"/>
              <w:right w:val="single" w:color="auto" w:sz="4" w:space="0"/>
            </w:tcBorders>
            <w:shd w:val="clear" w:color="000000" w:fill="FFFFFF"/>
            <w:vAlign w:val="center"/>
          </w:tcPr>
          <w:p w14:paraId="716AA141">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万亩</w:t>
            </w:r>
          </w:p>
        </w:tc>
        <w:tc>
          <w:tcPr>
            <w:tcW w:w="400" w:type="pct"/>
            <w:tcBorders>
              <w:top w:val="nil"/>
              <w:left w:val="nil"/>
              <w:bottom w:val="single" w:color="auto" w:sz="4" w:space="0"/>
              <w:right w:val="single" w:color="auto" w:sz="4" w:space="0"/>
            </w:tcBorders>
            <w:shd w:val="clear" w:color="000000" w:fill="FFFFFF"/>
            <w:vAlign w:val="center"/>
          </w:tcPr>
          <w:p w14:paraId="22B93C17">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32.86</w:t>
            </w:r>
          </w:p>
        </w:tc>
        <w:tc>
          <w:tcPr>
            <w:tcW w:w="400" w:type="pct"/>
            <w:tcBorders>
              <w:top w:val="nil"/>
              <w:left w:val="nil"/>
              <w:bottom w:val="single" w:color="auto" w:sz="4" w:space="0"/>
              <w:right w:val="single" w:color="auto" w:sz="4" w:space="0"/>
            </w:tcBorders>
            <w:shd w:val="clear" w:color="000000" w:fill="FFFFFF"/>
            <w:vAlign w:val="center"/>
          </w:tcPr>
          <w:p w14:paraId="37431366">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6387.00</w:t>
            </w:r>
          </w:p>
        </w:tc>
        <w:tc>
          <w:tcPr>
            <w:tcW w:w="492" w:type="pct"/>
            <w:tcBorders>
              <w:top w:val="nil"/>
              <w:left w:val="nil"/>
              <w:bottom w:val="single" w:color="auto" w:sz="4" w:space="0"/>
              <w:right w:val="single" w:color="auto" w:sz="4" w:space="0"/>
            </w:tcBorders>
            <w:shd w:val="clear" w:color="000000" w:fill="FFFFFF"/>
            <w:vAlign w:val="center"/>
          </w:tcPr>
          <w:p w14:paraId="234C101D">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亩</w:t>
            </w:r>
          </w:p>
        </w:tc>
        <w:tc>
          <w:tcPr>
            <w:tcW w:w="353" w:type="pct"/>
            <w:tcBorders>
              <w:top w:val="nil"/>
              <w:left w:val="nil"/>
              <w:bottom w:val="single" w:color="auto" w:sz="4" w:space="0"/>
              <w:right w:val="single" w:color="auto" w:sz="4" w:space="0"/>
            </w:tcBorders>
            <w:shd w:val="clear" w:color="000000" w:fill="FFFFFF"/>
            <w:vAlign w:val="center"/>
          </w:tcPr>
          <w:p w14:paraId="3812FD21">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194.37</w:t>
            </w:r>
          </w:p>
        </w:tc>
      </w:tr>
      <w:tr w14:paraId="3BF25DFC">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63E155E7">
            <w:pPr>
              <w:widowControl/>
              <w:adjustRightInd w:val="0"/>
              <w:spacing w:line="240" w:lineRule="auto"/>
              <w:jc w:val="left"/>
              <w:rPr>
                <w:rFonts w:eastAsia="等线" w:cs="Times New Roman"/>
                <w:color w:val="000000"/>
                <w:kern w:val="0"/>
                <w:sz w:val="22"/>
              </w:rPr>
            </w:pPr>
          </w:p>
        </w:tc>
        <w:tc>
          <w:tcPr>
            <w:tcW w:w="1576" w:type="pct"/>
            <w:vMerge w:val="continue"/>
            <w:tcBorders>
              <w:top w:val="nil"/>
              <w:left w:val="single" w:color="auto" w:sz="4" w:space="0"/>
              <w:bottom w:val="single" w:color="000000" w:sz="4" w:space="0"/>
              <w:right w:val="single" w:color="auto" w:sz="4" w:space="0"/>
            </w:tcBorders>
            <w:vAlign w:val="center"/>
          </w:tcPr>
          <w:p w14:paraId="56A95948">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39D2FB3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林果地</w:t>
            </w:r>
          </w:p>
        </w:tc>
        <w:tc>
          <w:tcPr>
            <w:tcW w:w="400" w:type="pct"/>
            <w:tcBorders>
              <w:top w:val="nil"/>
              <w:left w:val="nil"/>
              <w:bottom w:val="single" w:color="auto" w:sz="4" w:space="0"/>
              <w:right w:val="single" w:color="auto" w:sz="4" w:space="0"/>
            </w:tcBorders>
            <w:shd w:val="clear" w:color="000000" w:fill="FFFFFF"/>
            <w:vAlign w:val="center"/>
          </w:tcPr>
          <w:p w14:paraId="6DFD5C6D">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万亩</w:t>
            </w:r>
          </w:p>
        </w:tc>
        <w:tc>
          <w:tcPr>
            <w:tcW w:w="400" w:type="pct"/>
            <w:tcBorders>
              <w:top w:val="nil"/>
              <w:left w:val="nil"/>
              <w:bottom w:val="single" w:color="auto" w:sz="4" w:space="0"/>
              <w:right w:val="single" w:color="auto" w:sz="4" w:space="0"/>
            </w:tcBorders>
            <w:shd w:val="clear" w:color="000000" w:fill="FFFFFF"/>
            <w:vAlign w:val="center"/>
          </w:tcPr>
          <w:p w14:paraId="2BCFB8CF">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1.50</w:t>
            </w:r>
          </w:p>
        </w:tc>
        <w:tc>
          <w:tcPr>
            <w:tcW w:w="400" w:type="pct"/>
            <w:tcBorders>
              <w:top w:val="nil"/>
              <w:left w:val="nil"/>
              <w:bottom w:val="single" w:color="auto" w:sz="4" w:space="0"/>
              <w:right w:val="single" w:color="auto" w:sz="4" w:space="0"/>
            </w:tcBorders>
            <w:shd w:val="clear" w:color="000000" w:fill="FFFFFF"/>
            <w:vAlign w:val="center"/>
          </w:tcPr>
          <w:p w14:paraId="5AF1B6BD">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310.00</w:t>
            </w:r>
          </w:p>
        </w:tc>
        <w:tc>
          <w:tcPr>
            <w:tcW w:w="492" w:type="pct"/>
            <w:tcBorders>
              <w:top w:val="nil"/>
              <w:left w:val="nil"/>
              <w:bottom w:val="single" w:color="auto" w:sz="4" w:space="0"/>
              <w:right w:val="single" w:color="auto" w:sz="4" w:space="0"/>
            </w:tcBorders>
            <w:shd w:val="clear" w:color="000000" w:fill="FFFFFF"/>
            <w:vAlign w:val="center"/>
          </w:tcPr>
          <w:p w14:paraId="05FC4CD3">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亩</w:t>
            </w:r>
          </w:p>
        </w:tc>
        <w:tc>
          <w:tcPr>
            <w:tcW w:w="353" w:type="pct"/>
            <w:tcBorders>
              <w:top w:val="nil"/>
              <w:left w:val="nil"/>
              <w:bottom w:val="single" w:color="auto" w:sz="4" w:space="0"/>
              <w:right w:val="single" w:color="auto" w:sz="4" w:space="0"/>
            </w:tcBorders>
            <w:shd w:val="clear" w:color="000000" w:fill="FFFFFF"/>
            <w:vAlign w:val="center"/>
          </w:tcPr>
          <w:p w14:paraId="3B1BFE2A">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206.67</w:t>
            </w:r>
          </w:p>
        </w:tc>
      </w:tr>
      <w:tr w14:paraId="5DA5B0AF">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5C0C6662">
            <w:pPr>
              <w:widowControl/>
              <w:adjustRightInd w:val="0"/>
              <w:spacing w:line="240" w:lineRule="auto"/>
              <w:jc w:val="left"/>
              <w:rPr>
                <w:rFonts w:eastAsia="等线" w:cs="Times New Roman"/>
                <w:color w:val="000000"/>
                <w:kern w:val="0"/>
                <w:sz w:val="22"/>
              </w:rPr>
            </w:pPr>
          </w:p>
        </w:tc>
        <w:tc>
          <w:tcPr>
            <w:tcW w:w="1576" w:type="pct"/>
            <w:vMerge w:val="continue"/>
            <w:tcBorders>
              <w:top w:val="nil"/>
              <w:left w:val="single" w:color="auto" w:sz="4" w:space="0"/>
              <w:bottom w:val="single" w:color="000000" w:sz="4" w:space="0"/>
              <w:right w:val="single" w:color="auto" w:sz="4" w:space="0"/>
            </w:tcBorders>
            <w:vAlign w:val="center"/>
          </w:tcPr>
          <w:p w14:paraId="62C0B5A3">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1605079B">
            <w:pPr>
              <w:widowControl/>
              <w:adjustRightInd w:val="0"/>
              <w:spacing w:line="240" w:lineRule="auto"/>
              <w:jc w:val="center"/>
              <w:rPr>
                <w:rFonts w:hint="eastAsia" w:ascii="宋体" w:hAnsi="宋体" w:cs="宋体"/>
                <w:color w:val="000000"/>
                <w:kern w:val="0"/>
                <w:sz w:val="22"/>
              </w:rPr>
            </w:pPr>
            <w:r>
              <w:rPr>
                <w:rFonts w:hint="eastAsia" w:ascii="宋体" w:hAnsi="宋体" w:cs="宋体"/>
                <w:color w:val="000000"/>
                <w:kern w:val="0"/>
                <w:sz w:val="22"/>
              </w:rPr>
              <w:t>鱼塘</w:t>
            </w:r>
          </w:p>
        </w:tc>
        <w:tc>
          <w:tcPr>
            <w:tcW w:w="400" w:type="pct"/>
            <w:tcBorders>
              <w:top w:val="nil"/>
              <w:left w:val="nil"/>
              <w:bottom w:val="single" w:color="auto" w:sz="4" w:space="0"/>
              <w:right w:val="single" w:color="auto" w:sz="4" w:space="0"/>
            </w:tcBorders>
            <w:shd w:val="clear" w:color="000000" w:fill="FFFFFF"/>
            <w:vAlign w:val="center"/>
          </w:tcPr>
          <w:p w14:paraId="5A019388">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万亩</w:t>
            </w:r>
          </w:p>
        </w:tc>
        <w:tc>
          <w:tcPr>
            <w:tcW w:w="400" w:type="pct"/>
            <w:tcBorders>
              <w:top w:val="nil"/>
              <w:left w:val="nil"/>
              <w:bottom w:val="single" w:color="auto" w:sz="4" w:space="0"/>
              <w:right w:val="single" w:color="auto" w:sz="4" w:space="0"/>
            </w:tcBorders>
            <w:shd w:val="clear" w:color="000000" w:fill="FFFFFF"/>
            <w:vAlign w:val="center"/>
          </w:tcPr>
          <w:p w14:paraId="0985BA87">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0.74</w:t>
            </w:r>
          </w:p>
        </w:tc>
        <w:tc>
          <w:tcPr>
            <w:tcW w:w="400" w:type="pct"/>
            <w:tcBorders>
              <w:top w:val="nil"/>
              <w:left w:val="nil"/>
              <w:bottom w:val="single" w:color="auto" w:sz="4" w:space="0"/>
              <w:right w:val="single" w:color="auto" w:sz="4" w:space="0"/>
            </w:tcBorders>
            <w:shd w:val="clear" w:color="000000" w:fill="FFFFFF"/>
            <w:vAlign w:val="center"/>
          </w:tcPr>
          <w:p w14:paraId="6A5172A8">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334.00</w:t>
            </w:r>
          </w:p>
        </w:tc>
        <w:tc>
          <w:tcPr>
            <w:tcW w:w="492" w:type="pct"/>
            <w:tcBorders>
              <w:top w:val="nil"/>
              <w:left w:val="nil"/>
              <w:bottom w:val="single" w:color="auto" w:sz="4" w:space="0"/>
              <w:right w:val="single" w:color="auto" w:sz="4" w:space="0"/>
            </w:tcBorders>
            <w:shd w:val="clear" w:color="000000" w:fill="FFFFFF"/>
            <w:vAlign w:val="center"/>
          </w:tcPr>
          <w:p w14:paraId="51A877EA">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亩</w:t>
            </w:r>
          </w:p>
        </w:tc>
        <w:tc>
          <w:tcPr>
            <w:tcW w:w="353" w:type="pct"/>
            <w:tcBorders>
              <w:top w:val="nil"/>
              <w:left w:val="nil"/>
              <w:bottom w:val="single" w:color="auto" w:sz="4" w:space="0"/>
              <w:right w:val="single" w:color="auto" w:sz="4" w:space="0"/>
            </w:tcBorders>
            <w:shd w:val="clear" w:color="000000" w:fill="FFFFFF"/>
            <w:vAlign w:val="center"/>
          </w:tcPr>
          <w:p w14:paraId="470D2087">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451.35</w:t>
            </w:r>
          </w:p>
        </w:tc>
      </w:tr>
      <w:tr w14:paraId="348F1C68">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38781B04">
            <w:pPr>
              <w:widowControl/>
              <w:adjustRightInd w:val="0"/>
              <w:spacing w:line="240" w:lineRule="auto"/>
              <w:jc w:val="left"/>
              <w:rPr>
                <w:rFonts w:eastAsia="等线" w:cs="Times New Roman"/>
                <w:color w:val="000000"/>
                <w:kern w:val="0"/>
                <w:sz w:val="22"/>
              </w:rPr>
            </w:pPr>
          </w:p>
        </w:tc>
        <w:tc>
          <w:tcPr>
            <w:tcW w:w="1576" w:type="pct"/>
            <w:vMerge w:val="restart"/>
            <w:tcBorders>
              <w:top w:val="nil"/>
              <w:left w:val="single" w:color="auto" w:sz="4" w:space="0"/>
              <w:bottom w:val="single" w:color="auto" w:sz="4" w:space="0"/>
              <w:right w:val="single" w:color="auto" w:sz="4" w:space="0"/>
            </w:tcBorders>
            <w:shd w:val="clear" w:color="000000" w:fill="FFFFFF"/>
            <w:vAlign w:val="center"/>
          </w:tcPr>
          <w:p w14:paraId="72B14270">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牲畜</w:t>
            </w:r>
          </w:p>
        </w:tc>
        <w:tc>
          <w:tcPr>
            <w:tcW w:w="394" w:type="pct"/>
            <w:tcBorders>
              <w:top w:val="nil"/>
              <w:left w:val="nil"/>
              <w:bottom w:val="single" w:color="auto" w:sz="4" w:space="0"/>
              <w:right w:val="single" w:color="auto" w:sz="4" w:space="0"/>
            </w:tcBorders>
            <w:shd w:val="clear" w:color="000000" w:fill="FFFFFF"/>
            <w:vAlign w:val="center"/>
          </w:tcPr>
          <w:p w14:paraId="154EC8AA">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大畜</w:t>
            </w:r>
          </w:p>
        </w:tc>
        <w:tc>
          <w:tcPr>
            <w:tcW w:w="400" w:type="pct"/>
            <w:tcBorders>
              <w:top w:val="nil"/>
              <w:left w:val="nil"/>
              <w:bottom w:val="single" w:color="auto" w:sz="4" w:space="0"/>
              <w:right w:val="single" w:color="auto" w:sz="4" w:space="0"/>
            </w:tcBorders>
            <w:shd w:val="clear" w:color="000000" w:fill="FFFFFF"/>
            <w:vAlign w:val="center"/>
          </w:tcPr>
          <w:p w14:paraId="0A74CC8C">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万头</w:t>
            </w:r>
          </w:p>
        </w:tc>
        <w:tc>
          <w:tcPr>
            <w:tcW w:w="400" w:type="pct"/>
            <w:tcBorders>
              <w:top w:val="nil"/>
              <w:left w:val="nil"/>
              <w:bottom w:val="single" w:color="auto" w:sz="4" w:space="0"/>
              <w:right w:val="single" w:color="auto" w:sz="4" w:space="0"/>
            </w:tcBorders>
            <w:shd w:val="clear" w:color="000000" w:fill="FFFFFF"/>
            <w:vAlign w:val="center"/>
          </w:tcPr>
          <w:p w14:paraId="3DD7BF79">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2.98</w:t>
            </w:r>
          </w:p>
        </w:tc>
        <w:tc>
          <w:tcPr>
            <w:tcW w:w="400" w:type="pct"/>
            <w:tcBorders>
              <w:top w:val="nil"/>
              <w:left w:val="nil"/>
              <w:bottom w:val="single" w:color="auto" w:sz="4" w:space="0"/>
              <w:right w:val="single" w:color="auto" w:sz="4" w:space="0"/>
            </w:tcBorders>
            <w:shd w:val="clear" w:color="000000" w:fill="FFFFFF"/>
            <w:vAlign w:val="center"/>
          </w:tcPr>
          <w:p w14:paraId="18D949AB">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125.28</w:t>
            </w:r>
          </w:p>
        </w:tc>
        <w:tc>
          <w:tcPr>
            <w:tcW w:w="492" w:type="pct"/>
            <w:tcBorders>
              <w:top w:val="nil"/>
              <w:left w:val="nil"/>
              <w:bottom w:val="single" w:color="auto" w:sz="4" w:space="0"/>
              <w:right w:val="single" w:color="auto" w:sz="4" w:space="0"/>
            </w:tcBorders>
            <w:shd w:val="clear" w:color="000000" w:fill="FFFFFF"/>
            <w:vAlign w:val="center"/>
          </w:tcPr>
          <w:p w14:paraId="62EBEE4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头</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101FF1E2">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115.18</w:t>
            </w:r>
          </w:p>
        </w:tc>
      </w:tr>
      <w:tr w14:paraId="44A5136E">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7141892F">
            <w:pPr>
              <w:widowControl/>
              <w:adjustRightInd w:val="0"/>
              <w:spacing w:line="240" w:lineRule="auto"/>
              <w:jc w:val="left"/>
              <w:rPr>
                <w:rFonts w:eastAsia="等线" w:cs="Times New Roman"/>
                <w:color w:val="000000"/>
                <w:kern w:val="0"/>
                <w:sz w:val="22"/>
              </w:rPr>
            </w:pPr>
          </w:p>
        </w:tc>
        <w:tc>
          <w:tcPr>
            <w:tcW w:w="1576" w:type="pct"/>
            <w:vMerge w:val="continue"/>
            <w:tcBorders>
              <w:top w:val="nil"/>
              <w:left w:val="single" w:color="auto" w:sz="4" w:space="0"/>
              <w:bottom w:val="single" w:color="auto" w:sz="4" w:space="0"/>
              <w:right w:val="single" w:color="auto" w:sz="4" w:space="0"/>
            </w:tcBorders>
            <w:vAlign w:val="center"/>
          </w:tcPr>
          <w:p w14:paraId="7A38D43F">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71335E9C">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小畜</w:t>
            </w:r>
          </w:p>
        </w:tc>
        <w:tc>
          <w:tcPr>
            <w:tcW w:w="400" w:type="pct"/>
            <w:tcBorders>
              <w:top w:val="nil"/>
              <w:left w:val="nil"/>
              <w:bottom w:val="single" w:color="auto" w:sz="4" w:space="0"/>
              <w:right w:val="single" w:color="auto" w:sz="4" w:space="0"/>
            </w:tcBorders>
            <w:shd w:val="clear" w:color="000000" w:fill="FFFFFF"/>
            <w:vAlign w:val="center"/>
          </w:tcPr>
          <w:p w14:paraId="5AC16BE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万只</w:t>
            </w:r>
          </w:p>
        </w:tc>
        <w:tc>
          <w:tcPr>
            <w:tcW w:w="400" w:type="pct"/>
            <w:tcBorders>
              <w:top w:val="nil"/>
              <w:left w:val="nil"/>
              <w:bottom w:val="single" w:color="auto" w:sz="4" w:space="0"/>
              <w:right w:val="single" w:color="auto" w:sz="4" w:space="0"/>
            </w:tcBorders>
            <w:shd w:val="clear" w:color="000000" w:fill="FFFFFF"/>
            <w:vAlign w:val="center"/>
          </w:tcPr>
          <w:p w14:paraId="49553FAE">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41.40</w:t>
            </w:r>
          </w:p>
        </w:tc>
        <w:tc>
          <w:tcPr>
            <w:tcW w:w="400" w:type="pct"/>
            <w:tcBorders>
              <w:top w:val="nil"/>
              <w:left w:val="nil"/>
              <w:bottom w:val="single" w:color="auto" w:sz="4" w:space="0"/>
              <w:right w:val="single" w:color="auto" w:sz="4" w:space="0"/>
            </w:tcBorders>
            <w:shd w:val="clear" w:color="000000" w:fill="FFFFFF"/>
            <w:vAlign w:val="center"/>
          </w:tcPr>
          <w:p w14:paraId="6678C9FB">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159.99</w:t>
            </w:r>
          </w:p>
        </w:tc>
        <w:tc>
          <w:tcPr>
            <w:tcW w:w="492" w:type="pct"/>
            <w:tcBorders>
              <w:top w:val="nil"/>
              <w:left w:val="nil"/>
              <w:bottom w:val="single" w:color="auto" w:sz="4" w:space="0"/>
              <w:right w:val="single" w:color="auto" w:sz="4" w:space="0"/>
            </w:tcBorders>
            <w:shd w:val="clear" w:color="000000" w:fill="FFFFFF"/>
            <w:vAlign w:val="center"/>
          </w:tcPr>
          <w:p w14:paraId="42E97EDF">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只</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12B4FEF1">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10.59</w:t>
            </w:r>
          </w:p>
        </w:tc>
      </w:tr>
      <w:tr w14:paraId="5432BC84">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0BE73F6D">
            <w:pPr>
              <w:widowControl/>
              <w:adjustRightInd w:val="0"/>
              <w:spacing w:line="240" w:lineRule="auto"/>
              <w:jc w:val="left"/>
              <w:rPr>
                <w:rFonts w:eastAsia="等线" w:cs="Times New Roman"/>
                <w:color w:val="000000"/>
                <w:kern w:val="0"/>
                <w:sz w:val="22"/>
              </w:rPr>
            </w:pPr>
          </w:p>
        </w:tc>
        <w:tc>
          <w:tcPr>
            <w:tcW w:w="1576" w:type="pct"/>
            <w:vMerge w:val="continue"/>
            <w:tcBorders>
              <w:top w:val="nil"/>
              <w:left w:val="single" w:color="auto" w:sz="4" w:space="0"/>
              <w:bottom w:val="single" w:color="auto" w:sz="4" w:space="0"/>
              <w:right w:val="single" w:color="auto" w:sz="4" w:space="0"/>
            </w:tcBorders>
            <w:vAlign w:val="center"/>
          </w:tcPr>
          <w:p w14:paraId="4178F19E">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57DA1D01">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生猪</w:t>
            </w:r>
          </w:p>
        </w:tc>
        <w:tc>
          <w:tcPr>
            <w:tcW w:w="400" w:type="pct"/>
            <w:tcBorders>
              <w:top w:val="nil"/>
              <w:left w:val="nil"/>
              <w:bottom w:val="single" w:color="auto" w:sz="4" w:space="0"/>
              <w:right w:val="single" w:color="auto" w:sz="4" w:space="0"/>
            </w:tcBorders>
            <w:shd w:val="clear" w:color="000000" w:fill="FFFFFF"/>
            <w:vAlign w:val="center"/>
          </w:tcPr>
          <w:p w14:paraId="65978AB3">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万头</w:t>
            </w:r>
          </w:p>
        </w:tc>
        <w:tc>
          <w:tcPr>
            <w:tcW w:w="400" w:type="pct"/>
            <w:tcBorders>
              <w:top w:val="nil"/>
              <w:left w:val="nil"/>
              <w:bottom w:val="single" w:color="auto" w:sz="4" w:space="0"/>
              <w:right w:val="single" w:color="auto" w:sz="4" w:space="0"/>
            </w:tcBorders>
            <w:shd w:val="clear" w:color="000000" w:fill="FFFFFF"/>
            <w:vAlign w:val="center"/>
          </w:tcPr>
          <w:p w14:paraId="01B0DEFB">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3.69</w:t>
            </w:r>
          </w:p>
        </w:tc>
        <w:tc>
          <w:tcPr>
            <w:tcW w:w="400" w:type="pct"/>
            <w:tcBorders>
              <w:top w:val="nil"/>
              <w:left w:val="nil"/>
              <w:bottom w:val="single" w:color="auto" w:sz="4" w:space="0"/>
              <w:right w:val="single" w:color="auto" w:sz="4" w:space="0"/>
            </w:tcBorders>
            <w:shd w:val="clear" w:color="000000" w:fill="FFFFFF"/>
            <w:vAlign w:val="center"/>
          </w:tcPr>
          <w:p w14:paraId="7966F083">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81.73</w:t>
            </w:r>
          </w:p>
        </w:tc>
        <w:tc>
          <w:tcPr>
            <w:tcW w:w="492" w:type="pct"/>
            <w:tcBorders>
              <w:top w:val="nil"/>
              <w:left w:val="nil"/>
              <w:bottom w:val="single" w:color="auto" w:sz="4" w:space="0"/>
              <w:right w:val="single" w:color="auto" w:sz="4" w:space="0"/>
            </w:tcBorders>
            <w:shd w:val="clear" w:color="000000" w:fill="FFFFFF"/>
            <w:vAlign w:val="center"/>
          </w:tcPr>
          <w:p w14:paraId="7D25CDAC">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头</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2E50289C">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60.68</w:t>
            </w:r>
          </w:p>
        </w:tc>
      </w:tr>
      <w:tr w14:paraId="10DC9A80">
        <w:tblPrEx>
          <w:tblCellMar>
            <w:top w:w="0" w:type="dxa"/>
            <w:left w:w="108" w:type="dxa"/>
            <w:bottom w:w="0" w:type="dxa"/>
            <w:right w:w="108" w:type="dxa"/>
          </w:tblCellMar>
        </w:tblPrEx>
        <w:trPr>
          <w:trHeight w:val="20" w:hRule="atLeast"/>
        </w:trPr>
        <w:tc>
          <w:tcPr>
            <w:tcW w:w="985" w:type="pct"/>
            <w:tcBorders>
              <w:top w:val="nil"/>
              <w:left w:val="single" w:color="auto" w:sz="4" w:space="0"/>
              <w:bottom w:val="nil"/>
              <w:right w:val="single" w:color="auto" w:sz="4" w:space="0"/>
            </w:tcBorders>
            <w:shd w:val="clear" w:color="000000" w:fill="FFFFFF"/>
            <w:vAlign w:val="center"/>
          </w:tcPr>
          <w:p w14:paraId="3976F79C">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第二产业</w:t>
            </w:r>
          </w:p>
        </w:tc>
        <w:tc>
          <w:tcPr>
            <w:tcW w:w="1576" w:type="pct"/>
            <w:tcBorders>
              <w:top w:val="nil"/>
              <w:left w:val="nil"/>
              <w:bottom w:val="single" w:color="auto" w:sz="4" w:space="0"/>
              <w:right w:val="single" w:color="auto" w:sz="4" w:space="0"/>
            </w:tcBorders>
            <w:shd w:val="clear" w:color="000000" w:fill="FFFFFF"/>
            <w:vAlign w:val="center"/>
          </w:tcPr>
          <w:p w14:paraId="2405E57A">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工业</w:t>
            </w:r>
          </w:p>
        </w:tc>
        <w:tc>
          <w:tcPr>
            <w:tcW w:w="394" w:type="pct"/>
            <w:tcBorders>
              <w:top w:val="nil"/>
              <w:left w:val="nil"/>
              <w:bottom w:val="single" w:color="auto" w:sz="4" w:space="0"/>
              <w:right w:val="single" w:color="auto" w:sz="4" w:space="0"/>
            </w:tcBorders>
            <w:shd w:val="clear" w:color="000000" w:fill="FFFFFF"/>
            <w:vAlign w:val="center"/>
          </w:tcPr>
          <w:p w14:paraId="11414FF1">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增加值</w:t>
            </w:r>
          </w:p>
        </w:tc>
        <w:tc>
          <w:tcPr>
            <w:tcW w:w="400" w:type="pct"/>
            <w:tcBorders>
              <w:top w:val="nil"/>
              <w:left w:val="nil"/>
              <w:bottom w:val="single" w:color="auto" w:sz="4" w:space="0"/>
              <w:right w:val="single" w:color="auto" w:sz="4" w:space="0"/>
            </w:tcBorders>
            <w:shd w:val="clear" w:color="000000" w:fill="FFFFFF"/>
            <w:vAlign w:val="center"/>
          </w:tcPr>
          <w:p w14:paraId="11A48321">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亿元</w:t>
            </w:r>
          </w:p>
        </w:tc>
        <w:tc>
          <w:tcPr>
            <w:tcW w:w="400" w:type="pct"/>
            <w:tcBorders>
              <w:top w:val="nil"/>
              <w:left w:val="nil"/>
              <w:bottom w:val="single" w:color="auto" w:sz="4" w:space="0"/>
              <w:right w:val="single" w:color="auto" w:sz="4" w:space="0"/>
            </w:tcBorders>
            <w:shd w:val="clear" w:color="000000" w:fill="FFFFFF"/>
            <w:vAlign w:val="center"/>
          </w:tcPr>
          <w:p w14:paraId="6F4753C4">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112.46</w:t>
            </w:r>
          </w:p>
        </w:tc>
        <w:tc>
          <w:tcPr>
            <w:tcW w:w="400" w:type="pct"/>
            <w:tcBorders>
              <w:top w:val="nil"/>
              <w:left w:val="nil"/>
              <w:bottom w:val="single" w:color="auto" w:sz="4" w:space="0"/>
              <w:right w:val="single" w:color="auto" w:sz="4" w:space="0"/>
            </w:tcBorders>
            <w:shd w:val="clear" w:color="000000" w:fill="FFFFFF"/>
            <w:vAlign w:val="center"/>
          </w:tcPr>
          <w:p w14:paraId="1E656AAF">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1420.25</w:t>
            </w:r>
          </w:p>
        </w:tc>
        <w:tc>
          <w:tcPr>
            <w:tcW w:w="492" w:type="pct"/>
            <w:tcBorders>
              <w:top w:val="nil"/>
              <w:left w:val="nil"/>
              <w:bottom w:val="single" w:color="auto" w:sz="4" w:space="0"/>
              <w:right w:val="single" w:color="auto" w:sz="4" w:space="0"/>
            </w:tcBorders>
            <w:shd w:val="clear" w:color="000000" w:fill="FFFFFF"/>
            <w:vAlign w:val="center"/>
          </w:tcPr>
          <w:p w14:paraId="33BA8561">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万元</w:t>
            </w:r>
          </w:p>
        </w:tc>
        <w:tc>
          <w:tcPr>
            <w:tcW w:w="353" w:type="pct"/>
            <w:tcBorders>
              <w:top w:val="nil"/>
              <w:left w:val="nil"/>
              <w:bottom w:val="single" w:color="auto" w:sz="4" w:space="0"/>
              <w:right w:val="single" w:color="auto" w:sz="4" w:space="0"/>
            </w:tcBorders>
            <w:shd w:val="clear" w:color="000000" w:fill="FFFFFF"/>
            <w:vAlign w:val="center"/>
          </w:tcPr>
          <w:p w14:paraId="159BB0DC">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12.63</w:t>
            </w:r>
          </w:p>
        </w:tc>
      </w:tr>
      <w:tr w14:paraId="30680CE8">
        <w:tblPrEx>
          <w:tblCellMar>
            <w:top w:w="0" w:type="dxa"/>
            <w:left w:w="108" w:type="dxa"/>
            <w:bottom w:w="0" w:type="dxa"/>
            <w:right w:w="108" w:type="dxa"/>
          </w:tblCellMar>
        </w:tblPrEx>
        <w:trPr>
          <w:trHeight w:val="20" w:hRule="atLeast"/>
        </w:trPr>
        <w:tc>
          <w:tcPr>
            <w:tcW w:w="2561" w:type="pct"/>
            <w:gridSpan w:val="2"/>
            <w:vMerge w:val="restart"/>
            <w:tcBorders>
              <w:top w:val="single" w:color="auto" w:sz="4" w:space="0"/>
              <w:left w:val="single" w:color="auto" w:sz="4" w:space="0"/>
              <w:bottom w:val="single" w:color="auto" w:sz="4" w:space="0"/>
              <w:right w:val="single" w:color="auto" w:sz="4" w:space="0"/>
            </w:tcBorders>
            <w:shd w:val="clear" w:color="000000" w:fill="FFFFFF"/>
            <w:vAlign w:val="center"/>
          </w:tcPr>
          <w:p w14:paraId="7A1FEB4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第三产业</w:t>
            </w:r>
          </w:p>
        </w:tc>
        <w:tc>
          <w:tcPr>
            <w:tcW w:w="394" w:type="pct"/>
            <w:tcBorders>
              <w:top w:val="nil"/>
              <w:left w:val="nil"/>
              <w:bottom w:val="single" w:color="auto" w:sz="4" w:space="0"/>
              <w:right w:val="single" w:color="auto" w:sz="4" w:space="0"/>
            </w:tcBorders>
            <w:shd w:val="clear" w:color="000000" w:fill="FFFFFF"/>
            <w:vAlign w:val="center"/>
          </w:tcPr>
          <w:p w14:paraId="3591E74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增加值</w:t>
            </w:r>
          </w:p>
        </w:tc>
        <w:tc>
          <w:tcPr>
            <w:tcW w:w="400" w:type="pct"/>
            <w:tcBorders>
              <w:top w:val="nil"/>
              <w:left w:val="nil"/>
              <w:bottom w:val="single" w:color="auto" w:sz="4" w:space="0"/>
              <w:right w:val="single" w:color="auto" w:sz="4" w:space="0"/>
            </w:tcBorders>
            <w:shd w:val="clear" w:color="000000" w:fill="FFFFFF"/>
            <w:vAlign w:val="center"/>
          </w:tcPr>
          <w:p w14:paraId="3962323C">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亿元</w:t>
            </w:r>
          </w:p>
        </w:tc>
        <w:tc>
          <w:tcPr>
            <w:tcW w:w="400" w:type="pct"/>
            <w:tcBorders>
              <w:top w:val="nil"/>
              <w:left w:val="nil"/>
              <w:bottom w:val="single" w:color="auto" w:sz="4" w:space="0"/>
              <w:right w:val="single" w:color="auto" w:sz="4" w:space="0"/>
            </w:tcBorders>
            <w:shd w:val="clear" w:color="000000" w:fill="FFFFFF"/>
            <w:vAlign w:val="center"/>
          </w:tcPr>
          <w:p w14:paraId="072DFE6B">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161.02</w:t>
            </w:r>
          </w:p>
        </w:tc>
        <w:tc>
          <w:tcPr>
            <w:tcW w:w="400" w:type="pct"/>
            <w:tcBorders>
              <w:top w:val="nil"/>
              <w:left w:val="nil"/>
              <w:bottom w:val="single" w:color="auto" w:sz="4" w:space="0"/>
              <w:right w:val="single" w:color="auto" w:sz="4" w:space="0"/>
            </w:tcBorders>
            <w:shd w:val="clear" w:color="000000" w:fill="FFFFFF"/>
            <w:vAlign w:val="center"/>
          </w:tcPr>
          <w:p w14:paraId="0A860174">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72.</w:t>
            </w:r>
            <w:r>
              <w:rPr>
                <w:rFonts w:hint="eastAsia" w:eastAsia="等线" w:cs="Times New Roman"/>
                <w:color w:val="000000"/>
                <w:kern w:val="0"/>
                <w:sz w:val="22"/>
              </w:rPr>
              <w:t>46</w:t>
            </w:r>
          </w:p>
        </w:tc>
        <w:tc>
          <w:tcPr>
            <w:tcW w:w="492" w:type="pct"/>
            <w:tcBorders>
              <w:top w:val="nil"/>
              <w:left w:val="nil"/>
              <w:bottom w:val="single" w:color="auto" w:sz="4" w:space="0"/>
              <w:right w:val="single" w:color="auto" w:sz="4" w:space="0"/>
            </w:tcBorders>
            <w:shd w:val="clear" w:color="000000" w:fill="FFFFFF"/>
            <w:vAlign w:val="center"/>
          </w:tcPr>
          <w:p w14:paraId="51F2638E">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万元</w:t>
            </w:r>
          </w:p>
        </w:tc>
        <w:tc>
          <w:tcPr>
            <w:tcW w:w="353" w:type="pct"/>
            <w:tcBorders>
              <w:top w:val="nil"/>
              <w:left w:val="nil"/>
              <w:bottom w:val="single" w:color="auto" w:sz="4" w:space="0"/>
              <w:right w:val="single" w:color="auto" w:sz="4" w:space="0"/>
            </w:tcBorders>
            <w:shd w:val="clear" w:color="000000" w:fill="FFFFFF"/>
            <w:vAlign w:val="center"/>
          </w:tcPr>
          <w:p w14:paraId="5AE2231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0.15</w:t>
            </w:r>
          </w:p>
        </w:tc>
      </w:tr>
      <w:tr w14:paraId="42A5CF4C">
        <w:tblPrEx>
          <w:tblCellMar>
            <w:top w:w="0" w:type="dxa"/>
            <w:left w:w="108" w:type="dxa"/>
            <w:bottom w:w="0" w:type="dxa"/>
            <w:right w:w="108" w:type="dxa"/>
          </w:tblCellMar>
        </w:tblPrEx>
        <w:trPr>
          <w:trHeight w:val="20" w:hRule="atLeast"/>
        </w:trPr>
        <w:tc>
          <w:tcPr>
            <w:tcW w:w="2561" w:type="pct"/>
            <w:gridSpan w:val="2"/>
            <w:vMerge w:val="continue"/>
            <w:tcBorders>
              <w:top w:val="single" w:color="auto" w:sz="4" w:space="0"/>
              <w:left w:val="single" w:color="auto" w:sz="4" w:space="0"/>
              <w:bottom w:val="single" w:color="auto" w:sz="4" w:space="0"/>
              <w:right w:val="single" w:color="auto" w:sz="4" w:space="0"/>
            </w:tcBorders>
            <w:vAlign w:val="center"/>
          </w:tcPr>
          <w:p w14:paraId="22C3EFEF">
            <w:pPr>
              <w:widowControl/>
              <w:adjustRightInd w:val="0"/>
              <w:spacing w:line="240" w:lineRule="auto"/>
              <w:jc w:val="left"/>
              <w:rPr>
                <w:rFonts w:eastAsia="等线" w:cs="Times New Roman"/>
                <w:color w:val="000000"/>
                <w:kern w:val="0"/>
                <w:sz w:val="22"/>
              </w:rPr>
            </w:pPr>
          </w:p>
        </w:tc>
        <w:tc>
          <w:tcPr>
            <w:tcW w:w="394" w:type="pct"/>
            <w:tcBorders>
              <w:top w:val="nil"/>
              <w:left w:val="nil"/>
              <w:bottom w:val="single" w:color="auto" w:sz="4" w:space="0"/>
              <w:right w:val="single" w:color="auto" w:sz="4" w:space="0"/>
            </w:tcBorders>
            <w:shd w:val="clear" w:color="000000" w:fill="FFFFFF"/>
            <w:vAlign w:val="center"/>
          </w:tcPr>
          <w:p w14:paraId="51D85A85">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城镇人口</w:t>
            </w:r>
          </w:p>
        </w:tc>
        <w:tc>
          <w:tcPr>
            <w:tcW w:w="400" w:type="pct"/>
            <w:tcBorders>
              <w:top w:val="nil"/>
              <w:left w:val="nil"/>
              <w:bottom w:val="single" w:color="auto" w:sz="4" w:space="0"/>
              <w:right w:val="single" w:color="auto" w:sz="4" w:space="0"/>
            </w:tcBorders>
            <w:shd w:val="clear" w:color="000000" w:fill="FFFFFF"/>
            <w:vAlign w:val="center"/>
          </w:tcPr>
          <w:p w14:paraId="74159115">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万人</w:t>
            </w:r>
          </w:p>
        </w:tc>
        <w:tc>
          <w:tcPr>
            <w:tcW w:w="400" w:type="pct"/>
            <w:tcBorders>
              <w:top w:val="nil"/>
              <w:left w:val="nil"/>
              <w:bottom w:val="single" w:color="auto" w:sz="4" w:space="0"/>
              <w:right w:val="single" w:color="auto" w:sz="4" w:space="0"/>
            </w:tcBorders>
            <w:shd w:val="clear" w:color="000000" w:fill="FFFFFF"/>
            <w:vAlign w:val="center"/>
          </w:tcPr>
          <w:p w14:paraId="7A6BBAA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18.45</w:t>
            </w:r>
          </w:p>
        </w:tc>
        <w:tc>
          <w:tcPr>
            <w:tcW w:w="400" w:type="pct"/>
            <w:tcBorders>
              <w:top w:val="nil"/>
              <w:left w:val="nil"/>
              <w:bottom w:val="single" w:color="auto" w:sz="4" w:space="0"/>
              <w:right w:val="single" w:color="auto" w:sz="4" w:space="0"/>
            </w:tcBorders>
            <w:shd w:val="clear" w:color="000000" w:fill="FFFFFF"/>
            <w:vAlign w:val="center"/>
          </w:tcPr>
          <w:p w14:paraId="11E390D3">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447.15</w:t>
            </w:r>
          </w:p>
        </w:tc>
        <w:tc>
          <w:tcPr>
            <w:tcW w:w="492" w:type="pct"/>
            <w:tcBorders>
              <w:top w:val="nil"/>
              <w:left w:val="nil"/>
              <w:bottom w:val="single" w:color="auto" w:sz="4" w:space="0"/>
              <w:right w:val="single" w:color="auto" w:sz="4" w:space="0"/>
            </w:tcBorders>
            <w:shd w:val="clear" w:color="000000" w:fill="FFFFFF"/>
            <w:vAlign w:val="center"/>
          </w:tcPr>
          <w:p w14:paraId="6237BC8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人</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0F477024">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66.40</w:t>
            </w:r>
          </w:p>
        </w:tc>
      </w:tr>
      <w:tr w14:paraId="651A4BF4">
        <w:tblPrEx>
          <w:tblCellMar>
            <w:top w:w="0" w:type="dxa"/>
            <w:left w:w="108" w:type="dxa"/>
            <w:bottom w:w="0" w:type="dxa"/>
            <w:right w:w="108" w:type="dxa"/>
          </w:tblCellMar>
        </w:tblPrEx>
        <w:trPr>
          <w:trHeight w:val="20" w:hRule="atLeast"/>
        </w:trPr>
        <w:tc>
          <w:tcPr>
            <w:tcW w:w="985" w:type="pct"/>
            <w:vMerge w:val="restart"/>
            <w:tcBorders>
              <w:top w:val="nil"/>
              <w:left w:val="single" w:color="auto" w:sz="4" w:space="0"/>
              <w:bottom w:val="single" w:color="auto" w:sz="4" w:space="0"/>
              <w:right w:val="single" w:color="auto" w:sz="4" w:space="0"/>
            </w:tcBorders>
            <w:shd w:val="clear" w:color="000000" w:fill="FFFFFF"/>
            <w:vAlign w:val="center"/>
          </w:tcPr>
          <w:p w14:paraId="6E0E759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生活</w:t>
            </w:r>
          </w:p>
        </w:tc>
        <w:tc>
          <w:tcPr>
            <w:tcW w:w="1576" w:type="pct"/>
            <w:tcBorders>
              <w:top w:val="nil"/>
              <w:left w:val="nil"/>
              <w:bottom w:val="single" w:color="auto" w:sz="4" w:space="0"/>
              <w:right w:val="single" w:color="auto" w:sz="4" w:space="0"/>
            </w:tcBorders>
            <w:shd w:val="clear" w:color="000000" w:fill="FFFFFF"/>
            <w:vAlign w:val="center"/>
          </w:tcPr>
          <w:p w14:paraId="3BC31487">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城镇</w:t>
            </w:r>
          </w:p>
        </w:tc>
        <w:tc>
          <w:tcPr>
            <w:tcW w:w="394" w:type="pct"/>
            <w:tcBorders>
              <w:top w:val="nil"/>
              <w:left w:val="nil"/>
              <w:bottom w:val="single" w:color="auto" w:sz="4" w:space="0"/>
              <w:right w:val="single" w:color="auto" w:sz="4" w:space="0"/>
            </w:tcBorders>
            <w:shd w:val="clear" w:color="000000" w:fill="FFFFFF"/>
            <w:vAlign w:val="center"/>
          </w:tcPr>
          <w:p w14:paraId="45F748B3">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人口</w:t>
            </w:r>
          </w:p>
        </w:tc>
        <w:tc>
          <w:tcPr>
            <w:tcW w:w="400" w:type="pct"/>
            <w:tcBorders>
              <w:top w:val="nil"/>
              <w:left w:val="nil"/>
              <w:bottom w:val="single" w:color="auto" w:sz="4" w:space="0"/>
              <w:right w:val="single" w:color="auto" w:sz="4" w:space="0"/>
            </w:tcBorders>
            <w:shd w:val="clear" w:color="000000" w:fill="FFFFFF"/>
            <w:vAlign w:val="center"/>
          </w:tcPr>
          <w:p w14:paraId="3AACC3B5">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万人</w:t>
            </w:r>
          </w:p>
        </w:tc>
        <w:tc>
          <w:tcPr>
            <w:tcW w:w="400" w:type="pct"/>
            <w:tcBorders>
              <w:top w:val="nil"/>
              <w:left w:val="nil"/>
              <w:bottom w:val="single" w:color="auto" w:sz="4" w:space="0"/>
              <w:right w:val="single" w:color="auto" w:sz="4" w:space="0"/>
            </w:tcBorders>
            <w:shd w:val="clear" w:color="000000" w:fill="FFFFFF"/>
            <w:vAlign w:val="center"/>
          </w:tcPr>
          <w:p w14:paraId="10DCD7F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18.45</w:t>
            </w:r>
          </w:p>
        </w:tc>
        <w:tc>
          <w:tcPr>
            <w:tcW w:w="400" w:type="pct"/>
            <w:tcBorders>
              <w:top w:val="nil"/>
              <w:left w:val="nil"/>
              <w:bottom w:val="single" w:color="auto" w:sz="4" w:space="0"/>
              <w:right w:val="single" w:color="auto" w:sz="4" w:space="0"/>
            </w:tcBorders>
            <w:shd w:val="clear" w:color="000000" w:fill="FFFFFF"/>
            <w:vAlign w:val="center"/>
          </w:tcPr>
          <w:p w14:paraId="0354DC38">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447.15</w:t>
            </w:r>
          </w:p>
        </w:tc>
        <w:tc>
          <w:tcPr>
            <w:tcW w:w="492" w:type="pct"/>
            <w:tcBorders>
              <w:top w:val="nil"/>
              <w:left w:val="nil"/>
              <w:bottom w:val="single" w:color="auto" w:sz="4" w:space="0"/>
              <w:right w:val="single" w:color="auto" w:sz="4" w:space="0"/>
            </w:tcBorders>
            <w:shd w:val="clear" w:color="000000" w:fill="FFFFFF"/>
            <w:vAlign w:val="center"/>
          </w:tcPr>
          <w:p w14:paraId="6991158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人</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7DF2C270">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66.40</w:t>
            </w:r>
          </w:p>
        </w:tc>
      </w:tr>
      <w:tr w14:paraId="655AE366">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3CE0C6DA">
            <w:pPr>
              <w:widowControl/>
              <w:adjustRightInd w:val="0"/>
              <w:spacing w:line="240" w:lineRule="auto"/>
              <w:jc w:val="left"/>
              <w:rPr>
                <w:rFonts w:eastAsia="等线" w:cs="Times New Roman"/>
                <w:color w:val="000000"/>
                <w:kern w:val="0"/>
                <w:sz w:val="22"/>
              </w:rPr>
            </w:pPr>
          </w:p>
        </w:tc>
        <w:tc>
          <w:tcPr>
            <w:tcW w:w="1576" w:type="pct"/>
            <w:tcBorders>
              <w:top w:val="nil"/>
              <w:left w:val="nil"/>
              <w:bottom w:val="single" w:color="auto" w:sz="4" w:space="0"/>
              <w:right w:val="single" w:color="auto" w:sz="4" w:space="0"/>
            </w:tcBorders>
            <w:shd w:val="clear" w:color="000000" w:fill="FFFFFF"/>
            <w:vAlign w:val="center"/>
          </w:tcPr>
          <w:p w14:paraId="163972AA">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乡村</w:t>
            </w:r>
          </w:p>
        </w:tc>
        <w:tc>
          <w:tcPr>
            <w:tcW w:w="394" w:type="pct"/>
            <w:tcBorders>
              <w:top w:val="nil"/>
              <w:left w:val="nil"/>
              <w:bottom w:val="single" w:color="auto" w:sz="4" w:space="0"/>
              <w:right w:val="single" w:color="auto" w:sz="4" w:space="0"/>
            </w:tcBorders>
            <w:shd w:val="clear" w:color="000000" w:fill="FFFFFF"/>
            <w:vAlign w:val="center"/>
          </w:tcPr>
          <w:p w14:paraId="34F09297">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人口</w:t>
            </w:r>
          </w:p>
        </w:tc>
        <w:tc>
          <w:tcPr>
            <w:tcW w:w="400" w:type="pct"/>
            <w:tcBorders>
              <w:top w:val="nil"/>
              <w:left w:val="nil"/>
              <w:bottom w:val="single" w:color="auto" w:sz="4" w:space="0"/>
              <w:right w:val="single" w:color="auto" w:sz="4" w:space="0"/>
            </w:tcBorders>
            <w:shd w:val="clear" w:color="000000" w:fill="FFFFFF"/>
            <w:vAlign w:val="center"/>
          </w:tcPr>
          <w:p w14:paraId="0C34727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万人</w:t>
            </w:r>
          </w:p>
        </w:tc>
        <w:tc>
          <w:tcPr>
            <w:tcW w:w="400" w:type="pct"/>
            <w:tcBorders>
              <w:top w:val="nil"/>
              <w:left w:val="nil"/>
              <w:bottom w:val="single" w:color="auto" w:sz="4" w:space="0"/>
              <w:right w:val="single" w:color="auto" w:sz="4" w:space="0"/>
            </w:tcBorders>
            <w:shd w:val="clear" w:color="000000" w:fill="FFFFFF"/>
            <w:vAlign w:val="center"/>
          </w:tcPr>
          <w:p w14:paraId="5318F1C3">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6.55</w:t>
            </w:r>
          </w:p>
        </w:tc>
        <w:tc>
          <w:tcPr>
            <w:tcW w:w="400" w:type="pct"/>
            <w:tcBorders>
              <w:top w:val="nil"/>
              <w:left w:val="nil"/>
              <w:bottom w:val="single" w:color="auto" w:sz="4" w:space="0"/>
              <w:right w:val="single" w:color="auto" w:sz="4" w:space="0"/>
            </w:tcBorders>
            <w:shd w:val="clear" w:color="000000" w:fill="FFFFFF"/>
            <w:vAlign w:val="center"/>
          </w:tcPr>
          <w:p w14:paraId="7EFFA332">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123.12</w:t>
            </w:r>
          </w:p>
        </w:tc>
        <w:tc>
          <w:tcPr>
            <w:tcW w:w="492" w:type="pct"/>
            <w:tcBorders>
              <w:top w:val="nil"/>
              <w:left w:val="nil"/>
              <w:bottom w:val="single" w:color="auto" w:sz="4" w:space="0"/>
              <w:right w:val="single" w:color="auto" w:sz="4" w:space="0"/>
            </w:tcBorders>
            <w:shd w:val="clear" w:color="000000" w:fill="FFFFFF"/>
            <w:vAlign w:val="center"/>
          </w:tcPr>
          <w:p w14:paraId="3024C1CE">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L/</w:t>
            </w:r>
            <w:r>
              <w:rPr>
                <w:rFonts w:hint="eastAsia" w:ascii="宋体" w:hAnsi="宋体" w:cs="Times New Roman"/>
                <w:color w:val="000000"/>
                <w:kern w:val="0"/>
                <w:sz w:val="22"/>
              </w:rPr>
              <w:t>人</w:t>
            </w:r>
            <w:r>
              <w:rPr>
                <w:rFonts w:eastAsia="等线" w:cs="Times New Roman"/>
                <w:color w:val="000000"/>
                <w:kern w:val="0"/>
                <w:sz w:val="22"/>
              </w:rPr>
              <w:t>·d</w:t>
            </w:r>
          </w:p>
        </w:tc>
        <w:tc>
          <w:tcPr>
            <w:tcW w:w="353" w:type="pct"/>
            <w:tcBorders>
              <w:top w:val="nil"/>
              <w:left w:val="nil"/>
              <w:bottom w:val="single" w:color="auto" w:sz="4" w:space="0"/>
              <w:right w:val="single" w:color="auto" w:sz="4" w:space="0"/>
            </w:tcBorders>
            <w:shd w:val="clear" w:color="000000" w:fill="FFFFFF"/>
            <w:vAlign w:val="center"/>
          </w:tcPr>
          <w:p w14:paraId="0D2BD36E">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51.50</w:t>
            </w:r>
          </w:p>
        </w:tc>
      </w:tr>
      <w:tr w14:paraId="4682C759">
        <w:tblPrEx>
          <w:tblCellMar>
            <w:top w:w="0" w:type="dxa"/>
            <w:left w:w="108" w:type="dxa"/>
            <w:bottom w:w="0" w:type="dxa"/>
            <w:right w:w="108" w:type="dxa"/>
          </w:tblCellMar>
        </w:tblPrEx>
        <w:trPr>
          <w:trHeight w:val="20" w:hRule="atLeast"/>
        </w:trPr>
        <w:tc>
          <w:tcPr>
            <w:tcW w:w="985" w:type="pct"/>
            <w:vMerge w:val="restart"/>
            <w:tcBorders>
              <w:top w:val="nil"/>
              <w:left w:val="single" w:color="auto" w:sz="4" w:space="0"/>
              <w:bottom w:val="single" w:color="auto" w:sz="4" w:space="0"/>
              <w:right w:val="single" w:color="auto" w:sz="4" w:space="0"/>
            </w:tcBorders>
            <w:shd w:val="clear" w:color="000000" w:fill="FFFFFF"/>
            <w:vAlign w:val="center"/>
          </w:tcPr>
          <w:p w14:paraId="6AD2A1FC">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综合指标</w:t>
            </w:r>
          </w:p>
        </w:tc>
        <w:tc>
          <w:tcPr>
            <w:tcW w:w="1576" w:type="pct"/>
            <w:tcBorders>
              <w:top w:val="nil"/>
              <w:left w:val="nil"/>
              <w:bottom w:val="single" w:color="auto" w:sz="4" w:space="0"/>
              <w:right w:val="single" w:color="auto" w:sz="4" w:space="0"/>
            </w:tcBorders>
            <w:shd w:val="clear" w:color="000000" w:fill="FFFFFF"/>
            <w:vAlign w:val="center"/>
          </w:tcPr>
          <w:p w14:paraId="2D9D29E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人均综合用水量</w:t>
            </w:r>
          </w:p>
        </w:tc>
        <w:tc>
          <w:tcPr>
            <w:tcW w:w="394" w:type="pct"/>
            <w:tcBorders>
              <w:top w:val="nil"/>
              <w:left w:val="nil"/>
              <w:bottom w:val="single" w:color="auto" w:sz="4" w:space="0"/>
              <w:right w:val="single" w:color="auto" w:sz="4" w:space="0"/>
            </w:tcBorders>
            <w:shd w:val="clear" w:color="000000" w:fill="FFFFFF"/>
            <w:vAlign w:val="center"/>
          </w:tcPr>
          <w:p w14:paraId="015D1F05">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人口</w:t>
            </w:r>
          </w:p>
        </w:tc>
        <w:tc>
          <w:tcPr>
            <w:tcW w:w="400" w:type="pct"/>
            <w:tcBorders>
              <w:top w:val="nil"/>
              <w:left w:val="nil"/>
              <w:bottom w:val="single" w:color="auto" w:sz="4" w:space="0"/>
              <w:right w:val="single" w:color="auto" w:sz="4" w:space="0"/>
            </w:tcBorders>
            <w:shd w:val="clear" w:color="000000" w:fill="FFFFFF"/>
            <w:vAlign w:val="center"/>
          </w:tcPr>
          <w:p w14:paraId="6C7BBAB6">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万人</w:t>
            </w:r>
          </w:p>
        </w:tc>
        <w:tc>
          <w:tcPr>
            <w:tcW w:w="400" w:type="pct"/>
            <w:tcBorders>
              <w:top w:val="nil"/>
              <w:left w:val="nil"/>
              <w:bottom w:val="single" w:color="auto" w:sz="4" w:space="0"/>
              <w:right w:val="single" w:color="auto" w:sz="4" w:space="0"/>
            </w:tcBorders>
            <w:shd w:val="clear" w:color="000000" w:fill="FFFFFF"/>
            <w:vAlign w:val="center"/>
          </w:tcPr>
          <w:p w14:paraId="61B6C54A">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25.00</w:t>
            </w:r>
          </w:p>
        </w:tc>
        <w:tc>
          <w:tcPr>
            <w:tcW w:w="400" w:type="pct"/>
            <w:tcBorders>
              <w:top w:val="nil"/>
              <w:left w:val="nil"/>
              <w:bottom w:val="single" w:color="auto" w:sz="4" w:space="0"/>
              <w:right w:val="single" w:color="auto" w:sz="4" w:space="0"/>
            </w:tcBorders>
            <w:shd w:val="clear" w:color="000000" w:fill="FFFFFF"/>
            <w:vAlign w:val="center"/>
          </w:tcPr>
          <w:p w14:paraId="3BBB7FED">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9770.98</w:t>
            </w:r>
          </w:p>
        </w:tc>
        <w:tc>
          <w:tcPr>
            <w:tcW w:w="492" w:type="pct"/>
            <w:tcBorders>
              <w:top w:val="nil"/>
              <w:left w:val="nil"/>
              <w:bottom w:val="single" w:color="auto" w:sz="4" w:space="0"/>
              <w:right w:val="single" w:color="auto" w:sz="4" w:space="0"/>
            </w:tcBorders>
            <w:shd w:val="clear" w:color="000000" w:fill="FFFFFF"/>
            <w:vAlign w:val="center"/>
          </w:tcPr>
          <w:p w14:paraId="23276AFC">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人</w:t>
            </w:r>
          </w:p>
        </w:tc>
        <w:tc>
          <w:tcPr>
            <w:tcW w:w="353" w:type="pct"/>
            <w:tcBorders>
              <w:top w:val="nil"/>
              <w:left w:val="nil"/>
              <w:bottom w:val="single" w:color="auto" w:sz="4" w:space="0"/>
              <w:right w:val="single" w:color="auto" w:sz="4" w:space="0"/>
            </w:tcBorders>
            <w:shd w:val="clear" w:color="000000" w:fill="FFFFFF"/>
            <w:vAlign w:val="center"/>
          </w:tcPr>
          <w:p w14:paraId="3A400EC1">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375.55</w:t>
            </w:r>
          </w:p>
        </w:tc>
      </w:tr>
      <w:tr w14:paraId="6488C802">
        <w:tblPrEx>
          <w:tblCellMar>
            <w:top w:w="0" w:type="dxa"/>
            <w:left w:w="108" w:type="dxa"/>
            <w:bottom w:w="0" w:type="dxa"/>
            <w:right w:w="108" w:type="dxa"/>
          </w:tblCellMar>
        </w:tblPrEx>
        <w:trPr>
          <w:trHeight w:val="20" w:hRule="atLeast"/>
        </w:trPr>
        <w:tc>
          <w:tcPr>
            <w:tcW w:w="985" w:type="pct"/>
            <w:vMerge w:val="continue"/>
            <w:tcBorders>
              <w:top w:val="nil"/>
              <w:left w:val="single" w:color="auto" w:sz="4" w:space="0"/>
              <w:bottom w:val="single" w:color="auto" w:sz="4" w:space="0"/>
              <w:right w:val="single" w:color="auto" w:sz="4" w:space="0"/>
            </w:tcBorders>
            <w:vAlign w:val="center"/>
          </w:tcPr>
          <w:p w14:paraId="222674E1">
            <w:pPr>
              <w:widowControl/>
              <w:adjustRightInd w:val="0"/>
              <w:spacing w:line="240" w:lineRule="auto"/>
              <w:jc w:val="left"/>
              <w:rPr>
                <w:rFonts w:eastAsia="等线" w:cs="Times New Roman"/>
                <w:color w:val="000000"/>
                <w:kern w:val="0"/>
                <w:sz w:val="22"/>
              </w:rPr>
            </w:pPr>
          </w:p>
        </w:tc>
        <w:tc>
          <w:tcPr>
            <w:tcW w:w="1576" w:type="pct"/>
            <w:tcBorders>
              <w:top w:val="nil"/>
              <w:left w:val="nil"/>
              <w:bottom w:val="single" w:color="auto" w:sz="4" w:space="0"/>
              <w:right w:val="single" w:color="auto" w:sz="4" w:space="0"/>
            </w:tcBorders>
            <w:shd w:val="clear" w:color="000000" w:fill="FFFFFF"/>
            <w:vAlign w:val="center"/>
          </w:tcPr>
          <w:p w14:paraId="385EA385">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万元</w:t>
            </w:r>
            <w:r>
              <w:rPr>
                <w:rFonts w:eastAsia="等线" w:cs="Times New Roman"/>
                <w:color w:val="000000"/>
                <w:kern w:val="0"/>
                <w:sz w:val="22"/>
              </w:rPr>
              <w:t>GDP</w:t>
            </w:r>
            <w:r>
              <w:rPr>
                <w:rFonts w:hint="eastAsia" w:ascii="宋体" w:hAnsi="宋体" w:cs="Times New Roman"/>
                <w:color w:val="000000"/>
                <w:kern w:val="0"/>
                <w:sz w:val="22"/>
              </w:rPr>
              <w:t>用水量</w:t>
            </w:r>
          </w:p>
        </w:tc>
        <w:tc>
          <w:tcPr>
            <w:tcW w:w="394" w:type="pct"/>
            <w:tcBorders>
              <w:top w:val="nil"/>
              <w:left w:val="nil"/>
              <w:bottom w:val="single" w:color="auto" w:sz="4" w:space="0"/>
              <w:right w:val="single" w:color="auto" w:sz="4" w:space="0"/>
            </w:tcBorders>
            <w:shd w:val="clear" w:color="000000" w:fill="FFFFFF"/>
            <w:vAlign w:val="center"/>
          </w:tcPr>
          <w:p w14:paraId="21B3FF9B">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增加值</w:t>
            </w:r>
          </w:p>
        </w:tc>
        <w:tc>
          <w:tcPr>
            <w:tcW w:w="400" w:type="pct"/>
            <w:tcBorders>
              <w:top w:val="nil"/>
              <w:left w:val="nil"/>
              <w:bottom w:val="single" w:color="auto" w:sz="4" w:space="0"/>
              <w:right w:val="single" w:color="auto" w:sz="4" w:space="0"/>
            </w:tcBorders>
            <w:shd w:val="clear" w:color="000000" w:fill="FFFFFF"/>
            <w:vAlign w:val="center"/>
          </w:tcPr>
          <w:p w14:paraId="1161B26E">
            <w:pPr>
              <w:widowControl/>
              <w:adjustRightInd w:val="0"/>
              <w:spacing w:line="240" w:lineRule="auto"/>
              <w:jc w:val="center"/>
              <w:rPr>
                <w:rFonts w:eastAsia="等线" w:cs="Times New Roman"/>
                <w:color w:val="000000"/>
                <w:kern w:val="0"/>
                <w:sz w:val="22"/>
              </w:rPr>
            </w:pPr>
            <w:r>
              <w:rPr>
                <w:rFonts w:hint="eastAsia" w:ascii="宋体" w:hAnsi="宋体" w:cs="Times New Roman"/>
                <w:color w:val="000000"/>
                <w:kern w:val="0"/>
                <w:sz w:val="22"/>
              </w:rPr>
              <w:t>亿元</w:t>
            </w:r>
          </w:p>
        </w:tc>
        <w:tc>
          <w:tcPr>
            <w:tcW w:w="400" w:type="pct"/>
            <w:tcBorders>
              <w:top w:val="nil"/>
              <w:left w:val="nil"/>
              <w:bottom w:val="single" w:color="auto" w:sz="4" w:space="0"/>
              <w:right w:val="single" w:color="auto" w:sz="4" w:space="0"/>
            </w:tcBorders>
            <w:shd w:val="clear" w:color="000000" w:fill="FFFFFF"/>
            <w:vAlign w:val="center"/>
          </w:tcPr>
          <w:p w14:paraId="6C06E69F">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351.58</w:t>
            </w:r>
          </w:p>
        </w:tc>
        <w:tc>
          <w:tcPr>
            <w:tcW w:w="400" w:type="pct"/>
            <w:tcBorders>
              <w:top w:val="nil"/>
              <w:left w:val="nil"/>
              <w:bottom w:val="single" w:color="auto" w:sz="4" w:space="0"/>
              <w:right w:val="single" w:color="auto" w:sz="4" w:space="0"/>
            </w:tcBorders>
            <w:shd w:val="clear" w:color="000000" w:fill="FFFFFF"/>
            <w:vAlign w:val="center"/>
          </w:tcPr>
          <w:p w14:paraId="5FCA5899">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9770.98</w:t>
            </w:r>
          </w:p>
        </w:tc>
        <w:tc>
          <w:tcPr>
            <w:tcW w:w="492" w:type="pct"/>
            <w:tcBorders>
              <w:top w:val="nil"/>
              <w:left w:val="nil"/>
              <w:bottom w:val="single" w:color="auto" w:sz="4" w:space="0"/>
              <w:right w:val="single" w:color="auto" w:sz="4" w:space="0"/>
            </w:tcBorders>
            <w:shd w:val="clear" w:color="000000" w:fill="FFFFFF"/>
            <w:vAlign w:val="center"/>
          </w:tcPr>
          <w:p w14:paraId="70B5C2B7">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m</w:t>
            </w:r>
            <w:r>
              <w:rPr>
                <w:rFonts w:eastAsia="等线" w:cs="Times New Roman"/>
                <w:color w:val="000000"/>
                <w:kern w:val="0"/>
                <w:sz w:val="22"/>
                <w:vertAlign w:val="superscript"/>
              </w:rPr>
              <w:t>3</w:t>
            </w:r>
            <w:r>
              <w:rPr>
                <w:rFonts w:eastAsia="等线" w:cs="Times New Roman"/>
                <w:color w:val="000000"/>
                <w:kern w:val="0"/>
                <w:sz w:val="22"/>
              </w:rPr>
              <w:t>/</w:t>
            </w:r>
            <w:r>
              <w:rPr>
                <w:rFonts w:hint="eastAsia" w:ascii="宋体" w:hAnsi="宋体" w:cs="Times New Roman"/>
                <w:color w:val="000000"/>
                <w:kern w:val="0"/>
                <w:sz w:val="22"/>
              </w:rPr>
              <w:t>万元</w:t>
            </w:r>
          </w:p>
        </w:tc>
        <w:tc>
          <w:tcPr>
            <w:tcW w:w="353" w:type="pct"/>
            <w:tcBorders>
              <w:top w:val="nil"/>
              <w:left w:val="nil"/>
              <w:bottom w:val="single" w:color="auto" w:sz="4" w:space="0"/>
              <w:right w:val="single" w:color="auto" w:sz="4" w:space="0"/>
            </w:tcBorders>
            <w:shd w:val="clear" w:color="000000" w:fill="FFFFFF"/>
            <w:vAlign w:val="center"/>
          </w:tcPr>
          <w:p w14:paraId="07FBDE38">
            <w:pPr>
              <w:widowControl/>
              <w:adjustRightInd w:val="0"/>
              <w:spacing w:line="240" w:lineRule="auto"/>
              <w:jc w:val="center"/>
              <w:rPr>
                <w:rFonts w:eastAsia="等线" w:cs="Times New Roman"/>
                <w:color w:val="000000"/>
                <w:kern w:val="0"/>
                <w:sz w:val="22"/>
              </w:rPr>
            </w:pPr>
            <w:r>
              <w:rPr>
                <w:rFonts w:eastAsia="等线" w:cs="Times New Roman"/>
                <w:color w:val="000000"/>
                <w:kern w:val="0"/>
                <w:sz w:val="22"/>
              </w:rPr>
              <w:t>22.08</w:t>
            </w:r>
          </w:p>
        </w:tc>
      </w:tr>
    </w:tbl>
    <w:p w14:paraId="6B50BC6E">
      <w:pPr>
        <w:widowControl/>
        <w:adjustRightInd w:val="0"/>
        <w:ind w:firstLine="562" w:firstLineChars="200"/>
        <w:rPr>
          <w:rFonts w:eastAsia="仿宋_GB2312" w:cs="Times New Roman"/>
          <w:b/>
          <w:sz w:val="28"/>
          <w:szCs w:val="28"/>
        </w:rPr>
        <w:sectPr>
          <w:pgSz w:w="16838" w:h="11906" w:orient="landscape"/>
          <w:pgMar w:top="1800" w:right="1440" w:bottom="1800" w:left="1440" w:header="851" w:footer="992" w:gutter="0"/>
          <w:cols w:space="425" w:num="1"/>
          <w:docGrid w:type="lines" w:linePitch="326" w:charSpace="0"/>
        </w:sectPr>
      </w:pPr>
    </w:p>
    <w:p w14:paraId="1EBFDF7A">
      <w:pPr>
        <w:widowControl/>
        <w:adjustRightInd w:val="0"/>
        <w:ind w:firstLine="562" w:firstLineChars="200"/>
        <w:rPr>
          <w:rFonts w:cs="Times New Roman"/>
          <w:sz w:val="28"/>
          <w:szCs w:val="28"/>
        </w:rPr>
      </w:pPr>
      <w:r>
        <w:rPr>
          <w:rFonts w:cs="Times New Roman"/>
          <w:b/>
          <w:bCs/>
          <w:sz w:val="28"/>
          <w:szCs w:val="28"/>
        </w:rPr>
        <w:t>综合用水指标</w:t>
      </w:r>
      <w:r>
        <w:rPr>
          <w:rFonts w:hint="eastAsia" w:cs="Times New Roman"/>
          <w:b/>
          <w:bCs/>
          <w:sz w:val="28"/>
          <w:szCs w:val="28"/>
        </w:rPr>
        <w:t>：</w:t>
      </w:r>
      <w:r>
        <w:rPr>
          <w:rFonts w:cs="Times New Roman"/>
          <w:sz w:val="28"/>
          <w:szCs w:val="28"/>
        </w:rPr>
        <w:t>202</w:t>
      </w:r>
      <w:r>
        <w:rPr>
          <w:rFonts w:hint="eastAsia" w:cs="Times New Roman"/>
          <w:sz w:val="28"/>
          <w:szCs w:val="28"/>
        </w:rPr>
        <w:t>3</w:t>
      </w:r>
      <w:r>
        <w:rPr>
          <w:rFonts w:cs="Times New Roman"/>
          <w:sz w:val="28"/>
          <w:szCs w:val="28"/>
        </w:rPr>
        <w:t>年</w:t>
      </w:r>
      <w:r>
        <w:rPr>
          <w:rFonts w:hint="eastAsia" w:cs="Times New Roman"/>
          <w:sz w:val="28"/>
          <w:szCs w:val="28"/>
        </w:rPr>
        <w:t>九原区</w:t>
      </w:r>
      <w:r>
        <w:rPr>
          <w:rFonts w:cs="Times New Roman"/>
          <w:sz w:val="28"/>
          <w:szCs w:val="28"/>
        </w:rPr>
        <w:t>人均用水量为</w:t>
      </w:r>
      <w:r>
        <w:rPr>
          <w:rFonts w:hint="eastAsia" w:cs="Times New Roman"/>
          <w:sz w:val="28"/>
          <w:szCs w:val="28"/>
        </w:rPr>
        <w:t>375.55</w:t>
      </w:r>
      <w:r>
        <w:rPr>
          <w:rFonts w:cs="Times New Roman"/>
          <w:sz w:val="28"/>
          <w:szCs w:val="28"/>
        </w:rPr>
        <w:t>m</w:t>
      </w:r>
      <w:r>
        <w:rPr>
          <w:rFonts w:cs="Times New Roman"/>
          <w:sz w:val="28"/>
          <w:szCs w:val="28"/>
          <w:vertAlign w:val="superscript"/>
        </w:rPr>
        <w:t>3</w:t>
      </w:r>
      <w:r>
        <w:rPr>
          <w:rFonts w:cs="Times New Roman"/>
          <w:sz w:val="28"/>
          <w:szCs w:val="28"/>
        </w:rPr>
        <w:t>，万元GDP用水量为</w:t>
      </w:r>
      <w:r>
        <w:rPr>
          <w:rFonts w:hint="eastAsia" w:cs="Times New Roman"/>
          <w:sz w:val="28"/>
          <w:szCs w:val="28"/>
        </w:rPr>
        <w:t>22.08</w:t>
      </w:r>
      <w:r>
        <w:rPr>
          <w:rFonts w:cs="Times New Roman"/>
          <w:sz w:val="28"/>
          <w:szCs w:val="28"/>
        </w:rPr>
        <w:t>m</w:t>
      </w:r>
      <w:r>
        <w:rPr>
          <w:rFonts w:cs="Times New Roman"/>
          <w:sz w:val="28"/>
          <w:szCs w:val="28"/>
          <w:vertAlign w:val="superscript"/>
        </w:rPr>
        <w:t>3</w:t>
      </w:r>
      <w:r>
        <w:rPr>
          <w:rFonts w:cs="Times New Roman"/>
          <w:sz w:val="28"/>
          <w:szCs w:val="28"/>
        </w:rPr>
        <w:t>/万元，万元工业增加值用水量12.</w:t>
      </w:r>
      <w:r>
        <w:rPr>
          <w:rFonts w:hint="eastAsia" w:cs="Times New Roman"/>
          <w:sz w:val="28"/>
          <w:szCs w:val="28"/>
        </w:rPr>
        <w:t>63</w:t>
      </w:r>
      <w:r>
        <w:rPr>
          <w:rFonts w:cs="Times New Roman"/>
          <w:sz w:val="28"/>
          <w:szCs w:val="28"/>
        </w:rPr>
        <w:t>m</w:t>
      </w:r>
      <w:r>
        <w:rPr>
          <w:rFonts w:cs="Times New Roman"/>
          <w:sz w:val="28"/>
          <w:szCs w:val="28"/>
          <w:vertAlign w:val="superscript"/>
        </w:rPr>
        <w:t>3</w:t>
      </w:r>
      <w:r>
        <w:rPr>
          <w:rFonts w:cs="Times New Roman"/>
          <w:sz w:val="28"/>
          <w:szCs w:val="28"/>
        </w:rPr>
        <w:t>，亩均</w:t>
      </w:r>
      <w:r>
        <w:rPr>
          <w:rFonts w:hint="eastAsia" w:cs="Times New Roman"/>
          <w:sz w:val="28"/>
          <w:szCs w:val="28"/>
        </w:rPr>
        <w:t>灌溉</w:t>
      </w:r>
      <w:r>
        <w:rPr>
          <w:rFonts w:cs="Times New Roman"/>
          <w:sz w:val="28"/>
          <w:szCs w:val="28"/>
        </w:rPr>
        <w:t>用水量为</w:t>
      </w:r>
      <w:r>
        <w:rPr>
          <w:rFonts w:hint="eastAsia" w:cs="Times New Roman"/>
          <w:sz w:val="28"/>
          <w:szCs w:val="28"/>
        </w:rPr>
        <w:t>194.37</w:t>
      </w:r>
      <w:r>
        <w:rPr>
          <w:rFonts w:cs="Times New Roman"/>
          <w:sz w:val="28"/>
          <w:szCs w:val="28"/>
        </w:rPr>
        <w:t>m</w:t>
      </w:r>
      <w:r>
        <w:rPr>
          <w:rFonts w:cs="Times New Roman"/>
          <w:sz w:val="28"/>
          <w:szCs w:val="28"/>
          <w:vertAlign w:val="superscript"/>
        </w:rPr>
        <w:t>3</w:t>
      </w:r>
      <w:r>
        <w:rPr>
          <w:rFonts w:cs="Times New Roman"/>
          <w:sz w:val="28"/>
          <w:szCs w:val="28"/>
        </w:rPr>
        <w:t>/亩，城镇综合用水量为</w:t>
      </w:r>
      <w:r>
        <w:rPr>
          <w:rFonts w:hint="eastAsia" w:cs="Times New Roman"/>
          <w:sz w:val="28"/>
          <w:szCs w:val="28"/>
        </w:rPr>
        <w:t>66.40</w:t>
      </w:r>
      <w:r>
        <w:rPr>
          <w:rFonts w:cs="Times New Roman"/>
          <w:sz w:val="28"/>
          <w:szCs w:val="28"/>
        </w:rPr>
        <w:t>L/人·d。</w:t>
      </w:r>
    </w:p>
    <w:p w14:paraId="41ED0338">
      <w:pPr>
        <w:widowControl/>
        <w:adjustRightInd w:val="0"/>
        <w:ind w:firstLine="562" w:firstLineChars="200"/>
        <w:rPr>
          <w:rFonts w:cs="Times New Roman"/>
          <w:sz w:val="28"/>
          <w:szCs w:val="28"/>
        </w:rPr>
      </w:pPr>
      <w:r>
        <w:rPr>
          <w:rFonts w:cs="Times New Roman"/>
          <w:b/>
          <w:bCs/>
          <w:sz w:val="28"/>
          <w:szCs w:val="28"/>
        </w:rPr>
        <w:t>农田灌溉用水指标</w:t>
      </w:r>
      <w:r>
        <w:rPr>
          <w:rFonts w:hint="eastAsia" w:cs="Times New Roman"/>
          <w:b/>
          <w:bCs/>
          <w:sz w:val="28"/>
          <w:szCs w:val="28"/>
        </w:rPr>
        <w:t>：</w:t>
      </w:r>
      <w:r>
        <w:rPr>
          <w:rFonts w:cs="Times New Roman"/>
          <w:sz w:val="28"/>
          <w:szCs w:val="28"/>
        </w:rPr>
        <w:t>202</w:t>
      </w:r>
      <w:r>
        <w:rPr>
          <w:rFonts w:hint="eastAsia" w:cs="Times New Roman"/>
          <w:sz w:val="28"/>
          <w:szCs w:val="28"/>
        </w:rPr>
        <w:t>3</w:t>
      </w:r>
      <w:r>
        <w:rPr>
          <w:rFonts w:cs="Times New Roman"/>
          <w:sz w:val="28"/>
          <w:szCs w:val="28"/>
        </w:rPr>
        <w:t>年</w:t>
      </w:r>
      <w:r>
        <w:rPr>
          <w:rFonts w:hint="eastAsia" w:cs="Times New Roman"/>
          <w:sz w:val="28"/>
          <w:szCs w:val="28"/>
        </w:rPr>
        <w:t>九原区有效灌溉面积32.86万亩，亩均灌溉用水量为194.37</w:t>
      </w:r>
      <w:r>
        <w:rPr>
          <w:rFonts w:cs="Times New Roman"/>
          <w:sz w:val="28"/>
          <w:szCs w:val="28"/>
        </w:rPr>
        <w:t>m</w:t>
      </w:r>
      <w:r>
        <w:rPr>
          <w:rFonts w:cs="Times New Roman"/>
          <w:sz w:val="28"/>
          <w:szCs w:val="28"/>
          <w:vertAlign w:val="superscript"/>
        </w:rPr>
        <w:t>3</w:t>
      </w:r>
      <w:r>
        <w:rPr>
          <w:rFonts w:cs="Times New Roman"/>
          <w:sz w:val="28"/>
          <w:szCs w:val="28"/>
        </w:rPr>
        <w:t>/亩</w:t>
      </w:r>
      <w:r>
        <w:rPr>
          <w:rFonts w:hint="eastAsia" w:cs="Times New Roman"/>
          <w:sz w:val="28"/>
          <w:szCs w:val="28"/>
        </w:rPr>
        <w:t>，用水水平优于自治区同期农田亩均用水量214</w:t>
      </w:r>
      <w:r>
        <w:rPr>
          <w:rFonts w:cs="Times New Roman"/>
          <w:sz w:val="28"/>
          <w:szCs w:val="28"/>
        </w:rPr>
        <w:t>m</w:t>
      </w:r>
      <w:r>
        <w:rPr>
          <w:rFonts w:cs="Times New Roman"/>
          <w:sz w:val="28"/>
          <w:szCs w:val="28"/>
          <w:vertAlign w:val="superscript"/>
        </w:rPr>
        <w:t>3</w:t>
      </w:r>
      <w:r>
        <w:rPr>
          <w:rFonts w:cs="Times New Roman"/>
          <w:sz w:val="28"/>
          <w:szCs w:val="28"/>
        </w:rPr>
        <w:t>/亩</w:t>
      </w:r>
      <w:r>
        <w:rPr>
          <w:rFonts w:hint="eastAsia" w:cs="Times New Roman"/>
          <w:sz w:val="28"/>
          <w:szCs w:val="28"/>
        </w:rPr>
        <w:t>、全国平均水平（农田亩均用水量377m</w:t>
      </w:r>
      <w:r>
        <w:rPr>
          <w:rFonts w:hint="eastAsia" w:cs="Times New Roman"/>
          <w:sz w:val="28"/>
          <w:szCs w:val="28"/>
          <w:vertAlign w:val="superscript"/>
        </w:rPr>
        <w:t>3</w:t>
      </w:r>
      <w:r>
        <w:rPr>
          <w:rFonts w:hint="eastAsia" w:cs="Times New Roman"/>
          <w:sz w:val="28"/>
          <w:szCs w:val="28"/>
        </w:rPr>
        <w:t>/亩），现状农田灌溉用水水平较高。</w:t>
      </w:r>
    </w:p>
    <w:p w14:paraId="3CA14227">
      <w:pPr>
        <w:widowControl/>
        <w:adjustRightInd w:val="0"/>
        <w:ind w:firstLine="562" w:firstLineChars="200"/>
        <w:rPr>
          <w:rFonts w:cs="Times New Roman"/>
          <w:sz w:val="28"/>
          <w:szCs w:val="28"/>
        </w:rPr>
      </w:pPr>
      <w:r>
        <w:rPr>
          <w:rFonts w:hint="eastAsia" w:cs="Times New Roman"/>
          <w:b/>
          <w:bCs/>
          <w:sz w:val="28"/>
          <w:szCs w:val="28"/>
        </w:rPr>
        <w:t>工业用水指标：</w:t>
      </w:r>
      <w:r>
        <w:rPr>
          <w:rFonts w:hint="eastAsia" w:cs="Times New Roman"/>
          <w:sz w:val="28"/>
          <w:szCs w:val="28"/>
        </w:rPr>
        <w:t>随着九原区工业用水效率的不断提升，2023年九原区万元GDP用水量为22.08</w:t>
      </w:r>
      <w:r>
        <w:rPr>
          <w:rFonts w:cs="Times New Roman"/>
          <w:sz w:val="28"/>
          <w:szCs w:val="28"/>
        </w:rPr>
        <w:t>m</w:t>
      </w:r>
      <w:r>
        <w:rPr>
          <w:rFonts w:cs="Times New Roman"/>
          <w:sz w:val="28"/>
          <w:szCs w:val="28"/>
          <w:vertAlign w:val="superscript"/>
        </w:rPr>
        <w:t>3</w:t>
      </w:r>
      <w:r>
        <w:rPr>
          <w:rFonts w:cs="Times New Roman"/>
          <w:sz w:val="28"/>
          <w:szCs w:val="28"/>
        </w:rPr>
        <w:t>/万元</w:t>
      </w:r>
      <w:r>
        <w:rPr>
          <w:rFonts w:hint="eastAsia" w:cs="Times New Roman"/>
          <w:sz w:val="28"/>
          <w:szCs w:val="28"/>
        </w:rPr>
        <w:t>，远优于内蒙古自治区水平74.96m</w:t>
      </w:r>
      <w:r>
        <w:rPr>
          <w:rFonts w:hint="eastAsia" w:cs="Times New Roman"/>
          <w:sz w:val="28"/>
          <w:szCs w:val="28"/>
          <w:vertAlign w:val="superscript"/>
        </w:rPr>
        <w:t>3</w:t>
      </w:r>
      <w:r>
        <w:rPr>
          <w:rFonts w:hint="eastAsia" w:cs="Times New Roman"/>
          <w:sz w:val="28"/>
          <w:szCs w:val="28"/>
        </w:rPr>
        <w:t>/万元；2023年万元工业增加值用水量为12.63</w:t>
      </w:r>
      <w:r>
        <w:rPr>
          <w:rFonts w:cs="Times New Roman"/>
          <w:sz w:val="28"/>
          <w:szCs w:val="28"/>
        </w:rPr>
        <w:t>m</w:t>
      </w:r>
      <w:r>
        <w:rPr>
          <w:rFonts w:cs="Times New Roman"/>
          <w:sz w:val="28"/>
          <w:szCs w:val="28"/>
          <w:vertAlign w:val="superscript"/>
        </w:rPr>
        <w:t>3</w:t>
      </w:r>
      <w:r>
        <w:rPr>
          <w:rFonts w:hint="eastAsia" w:cs="Times New Roman"/>
          <w:sz w:val="28"/>
          <w:szCs w:val="28"/>
        </w:rPr>
        <w:t>，用水平优于内蒙古自治区水平13.62m</w:t>
      </w:r>
      <w:r>
        <w:rPr>
          <w:rFonts w:hint="eastAsia" w:cs="Times New Roman"/>
          <w:sz w:val="28"/>
          <w:szCs w:val="28"/>
          <w:vertAlign w:val="superscript"/>
        </w:rPr>
        <w:t>3</w:t>
      </w:r>
      <w:r>
        <w:rPr>
          <w:rFonts w:hint="eastAsia" w:cs="Times New Roman"/>
          <w:sz w:val="28"/>
          <w:szCs w:val="28"/>
        </w:rPr>
        <w:t>/万元，优于全国万元工业增加值用水量（45.6m</w:t>
      </w:r>
      <w:r>
        <w:rPr>
          <w:rFonts w:hint="eastAsia" w:cs="Times New Roman"/>
          <w:sz w:val="28"/>
          <w:szCs w:val="28"/>
          <w:vertAlign w:val="superscript"/>
        </w:rPr>
        <w:t>3</w:t>
      </w:r>
      <w:r>
        <w:rPr>
          <w:rFonts w:hint="eastAsia" w:cs="Times New Roman"/>
          <w:sz w:val="28"/>
          <w:szCs w:val="28"/>
        </w:rPr>
        <w:t>/万元）；九原区现状2023年建筑业万元增加值用水量为0.55m</w:t>
      </w:r>
      <w:r>
        <w:rPr>
          <w:rFonts w:hint="eastAsia" w:cs="Times New Roman"/>
          <w:sz w:val="28"/>
          <w:szCs w:val="28"/>
          <w:vertAlign w:val="superscript"/>
        </w:rPr>
        <w:t>3</w:t>
      </w:r>
      <w:r>
        <w:rPr>
          <w:rFonts w:hint="eastAsia" w:cs="Times New Roman"/>
          <w:sz w:val="28"/>
          <w:szCs w:val="28"/>
        </w:rPr>
        <w:t>/万元，全市建筑业万元增加值用水量为0.33m</w:t>
      </w:r>
      <w:r>
        <w:rPr>
          <w:rFonts w:hint="eastAsia" w:cs="Times New Roman"/>
          <w:sz w:val="28"/>
          <w:szCs w:val="28"/>
          <w:vertAlign w:val="superscript"/>
        </w:rPr>
        <w:t>3</w:t>
      </w:r>
      <w:r>
        <w:rPr>
          <w:rFonts w:hint="eastAsia" w:cs="Times New Roman"/>
          <w:sz w:val="28"/>
          <w:szCs w:val="28"/>
        </w:rPr>
        <w:t>/万元，现状年九原区建筑业万元增加值用水水平低于全市平均水平。</w:t>
      </w:r>
    </w:p>
    <w:p w14:paraId="6888ACCD">
      <w:pPr>
        <w:widowControl/>
        <w:adjustRightInd w:val="0"/>
        <w:ind w:firstLine="562" w:firstLineChars="200"/>
        <w:rPr>
          <w:rFonts w:cs="Times New Roman"/>
          <w:sz w:val="28"/>
          <w:szCs w:val="28"/>
        </w:rPr>
      </w:pPr>
      <w:r>
        <w:rPr>
          <w:rFonts w:hint="eastAsia" w:cs="Times New Roman"/>
          <w:b/>
          <w:bCs/>
          <w:sz w:val="28"/>
          <w:szCs w:val="28"/>
        </w:rPr>
        <w:t>生活用水指标：</w:t>
      </w:r>
      <w:r>
        <w:rPr>
          <w:rFonts w:hint="eastAsia" w:cs="Times New Roman"/>
          <w:sz w:val="28"/>
          <w:szCs w:val="28"/>
        </w:rPr>
        <w:t>2023年九原区城镇综合用水量为66.40</w:t>
      </w:r>
      <w:r>
        <w:rPr>
          <w:rFonts w:cs="Times New Roman"/>
          <w:sz w:val="28"/>
          <w:szCs w:val="28"/>
        </w:rPr>
        <w:t>L/人·d</w:t>
      </w:r>
      <w:r>
        <w:rPr>
          <w:rFonts w:hint="eastAsia" w:cs="Times New Roman"/>
          <w:sz w:val="28"/>
          <w:szCs w:val="28"/>
        </w:rPr>
        <w:t>，低于自治区城镇综合用水量152L/人</w:t>
      </w:r>
      <w:r>
        <w:rPr>
          <w:rFonts w:cs="Times New Roman"/>
          <w:sz w:val="28"/>
          <w:szCs w:val="28"/>
        </w:rPr>
        <w:t>·d</w:t>
      </w:r>
      <w:r>
        <w:rPr>
          <w:rFonts w:hint="eastAsia" w:cs="Times New Roman"/>
          <w:sz w:val="28"/>
          <w:szCs w:val="28"/>
        </w:rPr>
        <w:t>，低于全国城镇综合用水量176L/人</w:t>
      </w:r>
      <w:r>
        <w:rPr>
          <w:rFonts w:cs="Times New Roman"/>
          <w:sz w:val="28"/>
          <w:szCs w:val="28"/>
        </w:rPr>
        <w:t>·d</w:t>
      </w:r>
      <w:r>
        <w:rPr>
          <w:rFonts w:hint="eastAsia" w:cs="Times New Roman"/>
          <w:sz w:val="28"/>
          <w:szCs w:val="28"/>
        </w:rPr>
        <w:t>，现状生活用水水平较高。</w:t>
      </w:r>
    </w:p>
    <w:p w14:paraId="091027D7">
      <w:pPr>
        <w:widowControl/>
        <w:adjustRightInd w:val="0"/>
        <w:ind w:firstLine="562" w:firstLineChars="200"/>
        <w:rPr>
          <w:rFonts w:cs="Times New Roman"/>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6 \* GB2 </w:instrText>
      </w:r>
      <w:r>
        <w:rPr>
          <w:rFonts w:hint="eastAsia" w:ascii="宋体" w:hAnsi="宋体" w:cs="宋体"/>
          <w:b/>
          <w:bCs/>
          <w:sz w:val="28"/>
          <w:szCs w:val="28"/>
        </w:rPr>
        <w:fldChar w:fldCharType="separate"/>
      </w:r>
      <w:r>
        <w:rPr>
          <w:rFonts w:hint="eastAsia" w:ascii="宋体" w:hAnsi="宋体" w:cs="宋体"/>
          <w:b/>
          <w:bCs/>
          <w:sz w:val="28"/>
          <w:szCs w:val="28"/>
        </w:rPr>
        <w:t>⑹</w:t>
      </w:r>
      <w:r>
        <w:rPr>
          <w:rFonts w:hint="eastAsia" w:ascii="宋体" w:hAnsi="宋体" w:cs="宋体"/>
          <w:b/>
          <w:bCs/>
          <w:sz w:val="28"/>
          <w:szCs w:val="28"/>
        </w:rPr>
        <w:fldChar w:fldCharType="end"/>
      </w:r>
      <w:r>
        <w:rPr>
          <w:rFonts w:hint="eastAsia" w:cs="Times New Roman"/>
          <w:b/>
          <w:bCs/>
          <w:sz w:val="28"/>
          <w:szCs w:val="28"/>
        </w:rPr>
        <w:t>水资源开发利用程度及潜力分析</w:t>
      </w:r>
    </w:p>
    <w:p w14:paraId="18D900E7">
      <w:pPr>
        <w:widowControl/>
        <w:adjustRightInd w:val="0"/>
        <w:ind w:firstLine="562" w:firstLineChars="200"/>
        <w:rPr>
          <w:rFonts w:cs="Times New Roman"/>
          <w:sz w:val="28"/>
          <w:szCs w:val="28"/>
        </w:rPr>
      </w:pPr>
      <w:r>
        <w:rPr>
          <w:rFonts w:cs="Times New Roman"/>
          <w:b/>
          <w:bCs/>
          <w:sz w:val="28"/>
          <w:szCs w:val="28"/>
        </w:rPr>
        <w:t>地表水资源开发利用程度</w:t>
      </w:r>
      <w:r>
        <w:rPr>
          <w:rFonts w:hint="eastAsia" w:cs="Times New Roman"/>
          <w:b/>
          <w:bCs/>
          <w:sz w:val="28"/>
          <w:szCs w:val="28"/>
        </w:rPr>
        <w:t>：</w:t>
      </w:r>
      <w:r>
        <w:rPr>
          <w:rFonts w:cs="Times New Roman"/>
          <w:sz w:val="28"/>
          <w:szCs w:val="28"/>
        </w:rPr>
        <w:t>地表水资源开发利用程度是指当地地表水实际开发利用量占当地地表水资源量的百分比。现状年（202</w:t>
      </w:r>
      <w:r>
        <w:rPr>
          <w:rFonts w:hint="eastAsia" w:cs="Times New Roman"/>
          <w:sz w:val="28"/>
          <w:szCs w:val="28"/>
        </w:rPr>
        <w:t>3</w:t>
      </w:r>
      <w:r>
        <w:rPr>
          <w:rFonts w:cs="Times New Roman"/>
          <w:sz w:val="28"/>
          <w:szCs w:val="28"/>
        </w:rPr>
        <w:t>年），九原区</w:t>
      </w:r>
      <w:r>
        <w:rPr>
          <w:rFonts w:hint="eastAsia" w:cs="Times New Roman"/>
          <w:sz w:val="28"/>
          <w:szCs w:val="28"/>
        </w:rPr>
        <w:t>取用黄河地表水水量为2280</w:t>
      </w:r>
      <w:r>
        <w:rPr>
          <w:rFonts w:cs="Times New Roman"/>
          <w:sz w:val="28"/>
          <w:szCs w:val="28"/>
        </w:rPr>
        <w:t>万m</w:t>
      </w:r>
      <w:r>
        <w:rPr>
          <w:rFonts w:cs="Times New Roman"/>
          <w:sz w:val="28"/>
          <w:szCs w:val="28"/>
          <w:vertAlign w:val="superscript"/>
        </w:rPr>
        <w:t>3</w:t>
      </w:r>
      <w:r>
        <w:rPr>
          <w:rFonts w:hint="eastAsia" w:cs="Times New Roman"/>
          <w:sz w:val="28"/>
          <w:szCs w:val="28"/>
        </w:rPr>
        <w:t>。</w:t>
      </w:r>
    </w:p>
    <w:p w14:paraId="38AAC1C1">
      <w:pPr>
        <w:widowControl/>
        <w:adjustRightInd w:val="0"/>
        <w:ind w:firstLine="562" w:firstLineChars="200"/>
        <w:rPr>
          <w:rFonts w:cs="Times New Roman"/>
          <w:sz w:val="28"/>
          <w:szCs w:val="28"/>
        </w:rPr>
      </w:pPr>
      <w:r>
        <w:rPr>
          <w:rFonts w:cs="Times New Roman"/>
          <w:b/>
          <w:bCs/>
          <w:sz w:val="28"/>
          <w:szCs w:val="28"/>
        </w:rPr>
        <w:t>地下水开采利用程度</w:t>
      </w:r>
      <w:r>
        <w:rPr>
          <w:rFonts w:hint="eastAsia" w:cs="Times New Roman"/>
          <w:b/>
          <w:bCs/>
          <w:sz w:val="28"/>
          <w:szCs w:val="28"/>
        </w:rPr>
        <w:t>：</w:t>
      </w:r>
      <w:r>
        <w:rPr>
          <w:rFonts w:cs="Times New Roman"/>
          <w:sz w:val="28"/>
          <w:szCs w:val="28"/>
        </w:rPr>
        <w:t>地下水开采利用程度是指当地地下水实际开采利用量占当地地下水可开采量的百分比。现状年（202</w:t>
      </w:r>
      <w:r>
        <w:rPr>
          <w:rFonts w:hint="eastAsia" w:cs="Times New Roman"/>
          <w:sz w:val="28"/>
          <w:szCs w:val="28"/>
        </w:rPr>
        <w:t>3</w:t>
      </w:r>
      <w:r>
        <w:rPr>
          <w:rFonts w:cs="Times New Roman"/>
          <w:sz w:val="28"/>
          <w:szCs w:val="28"/>
        </w:rPr>
        <w:t>年），</w:t>
      </w:r>
      <w:bookmarkStart w:id="88" w:name="_Hlk54686063"/>
      <w:r>
        <w:rPr>
          <w:rFonts w:cs="Times New Roman"/>
          <w:sz w:val="28"/>
          <w:szCs w:val="28"/>
        </w:rPr>
        <w:t>九原区</w:t>
      </w:r>
      <w:bookmarkEnd w:id="88"/>
      <w:r>
        <w:rPr>
          <w:rFonts w:cs="Times New Roman"/>
          <w:sz w:val="28"/>
          <w:szCs w:val="28"/>
        </w:rPr>
        <w:t>当地地</w:t>
      </w:r>
      <w:r>
        <w:rPr>
          <w:rFonts w:hint="eastAsia" w:cs="Times New Roman"/>
          <w:sz w:val="28"/>
          <w:szCs w:val="28"/>
        </w:rPr>
        <w:t>下</w:t>
      </w:r>
      <w:r>
        <w:rPr>
          <w:rFonts w:cs="Times New Roman"/>
          <w:sz w:val="28"/>
          <w:szCs w:val="28"/>
        </w:rPr>
        <w:t>水资源开发利用量为5</w:t>
      </w:r>
      <w:r>
        <w:rPr>
          <w:rFonts w:hint="eastAsia" w:cs="Times New Roman"/>
          <w:sz w:val="28"/>
          <w:szCs w:val="28"/>
        </w:rPr>
        <w:t>483</w:t>
      </w:r>
      <w:r>
        <w:rPr>
          <w:rFonts w:cs="Times New Roman"/>
          <w:sz w:val="28"/>
          <w:szCs w:val="28"/>
        </w:rPr>
        <w:t>万m</w:t>
      </w:r>
      <w:r>
        <w:rPr>
          <w:rFonts w:cs="Times New Roman"/>
          <w:sz w:val="28"/>
          <w:szCs w:val="28"/>
          <w:vertAlign w:val="superscript"/>
        </w:rPr>
        <w:t>3</w:t>
      </w:r>
      <w:r>
        <w:rPr>
          <w:rFonts w:hint="eastAsia" w:cs="Times New Roman"/>
          <w:sz w:val="28"/>
          <w:szCs w:val="28"/>
        </w:rPr>
        <w:t>。</w:t>
      </w:r>
    </w:p>
    <w:p w14:paraId="3633C9F7">
      <w:pPr>
        <w:widowControl/>
        <w:adjustRightInd w:val="0"/>
        <w:ind w:firstLine="562" w:firstLineChars="200"/>
        <w:rPr>
          <w:rFonts w:cs="Times New Roman"/>
          <w:sz w:val="28"/>
          <w:szCs w:val="28"/>
        </w:rPr>
      </w:pPr>
      <w:r>
        <w:rPr>
          <w:rFonts w:cs="Times New Roman"/>
          <w:b/>
          <w:bCs/>
          <w:sz w:val="28"/>
          <w:szCs w:val="28"/>
        </w:rPr>
        <w:t>开源潜力</w:t>
      </w:r>
      <w:r>
        <w:rPr>
          <w:rFonts w:hint="eastAsia" w:cs="Times New Roman"/>
          <w:b/>
          <w:bCs/>
          <w:sz w:val="28"/>
          <w:szCs w:val="28"/>
        </w:rPr>
        <w:t>：</w:t>
      </w:r>
      <w:r>
        <w:rPr>
          <w:rFonts w:cs="Times New Roman"/>
          <w:sz w:val="28"/>
          <w:szCs w:val="28"/>
        </w:rPr>
        <w:t>开源潜力是指在现状开发利用基础上，当地剩余的可供开发利用的水资源量，用公式表示为：</w:t>
      </w:r>
      <w:r>
        <w:rPr>
          <w:rFonts w:cs="Times New Roman"/>
          <w:sz w:val="28"/>
          <w:szCs w:val="28"/>
        </w:rPr>
        <w:object>
          <v:shape id="_x0000_i1025" o:spt="75" type="#_x0000_t75" style="height:13.4pt;width:7.75pt;" o:ole="t" filled="f" o:preferrelative="t" stroked="f" coordsize="21600,21600">
            <v:path/>
            <v:fill on="f" focussize="0,0"/>
            <v:stroke on="f" joinstyle="miter"/>
            <v:imagedata r:id="rId39" o:title=""/>
            <o:lock v:ext="edit" aspectratio="t"/>
            <w10:wrap type="none"/>
            <w10:anchorlock/>
          </v:shape>
          <o:OLEObject Type="Embed" ProgID="Equation.3" ShapeID="_x0000_i1025" DrawAspect="Content" ObjectID="_1468075725" r:id="rId38">
            <o:LockedField>false</o:LockedField>
          </o:OLEObject>
        </w:object>
      </w:r>
    </w:p>
    <w:p w14:paraId="7BD7DF0B">
      <w:pPr>
        <w:widowControl/>
        <w:adjustRightInd w:val="0"/>
        <w:ind w:firstLine="560" w:firstLineChars="200"/>
        <w:jc w:val="center"/>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object>
          <v:shape id="_x0000_i1026" o:spt="75" type="#_x0000_t75" style="height:20.45pt;width:202.6pt;" o:ole="t" filled="f" o:preferrelative="t" stroked="f" coordsize="21600,21600">
            <v:path/>
            <v:fill on="f" focussize="0,0"/>
            <v:stroke on="f" joinstyle="miter"/>
            <v:imagedata r:id="rId41" o:title=""/>
            <o:lock v:ext="edit" aspectratio="t"/>
            <w10:wrap type="none"/>
            <w10:anchorlock/>
          </v:shape>
          <o:OLEObject Type="Embed" ProgID="Equation.3" ShapeID="_x0000_i1026" DrawAspect="Content" ObjectID="_1468075726" r:id="rId40">
            <o:LockedField>false</o:LockedField>
          </o:OLEObject>
        </w:object>
      </w:r>
    </w:p>
    <w:p w14:paraId="2394B2CB">
      <w:pPr>
        <w:widowControl/>
        <w:adjustRightInd w:val="0"/>
        <w:ind w:firstLine="560" w:firstLineChars="200"/>
        <w:jc w:val="center"/>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式中：</w:t>
      </w:r>
      <w:r>
        <w:rPr>
          <w:rFonts w:cs="Times New Roman"/>
          <w:color w:val="000000" w:themeColor="text1"/>
          <w:sz w:val="28"/>
          <w:szCs w:val="28"/>
          <w14:textFill>
            <w14:solidFill>
              <w14:schemeClr w14:val="tx1"/>
            </w14:solidFill>
          </w14:textFill>
        </w:rPr>
        <w:object>
          <v:shape id="_x0000_i1027" o:spt="75" type="#_x0000_t75" style="height:20.45pt;width:28.25pt;" o:ole="t" filled="f" o:preferrelative="t" stroked="f" coordsize="21600,21600">
            <v:path/>
            <v:fill on="f" focussize="0,0"/>
            <v:stroke on="f" joinstyle="miter"/>
            <v:imagedata r:id="rId43" o:title=""/>
            <o:lock v:ext="edit" aspectratio="t"/>
            <w10:wrap type="none"/>
            <w10:anchorlock/>
          </v:shape>
          <o:OLEObject Type="Embed" ProgID="Equation.3" ShapeID="_x0000_i1027" DrawAspect="Content" ObjectID="_1468075727" r:id="rId42">
            <o:LockedField>false</o:LockedField>
          </o:OLEObject>
        </w:object>
      </w:r>
      <w:r>
        <w:rPr>
          <w:rFonts w:hint="eastAsia" w:cs="Times New Roman"/>
          <w:color w:val="000000" w:themeColor="text1"/>
          <w:sz w:val="28"/>
          <w:szCs w:val="28"/>
          <w14:textFill>
            <w14:solidFill>
              <w14:schemeClr w14:val="tx1"/>
            </w14:solidFill>
          </w14:textFill>
        </w:rPr>
        <w:t>—</w:t>
      </w:r>
      <w:r>
        <w:rPr>
          <w:rFonts w:cs="Times New Roman"/>
          <w:color w:val="000000" w:themeColor="text1"/>
          <w:sz w:val="28"/>
          <w:szCs w:val="28"/>
          <w14:textFill>
            <w14:solidFill>
              <w14:schemeClr w14:val="tx1"/>
            </w14:solidFill>
          </w14:textFill>
        </w:rPr>
        <w:t>水资源开发（开采）利用潜力；</w:t>
      </w:r>
    </w:p>
    <w:p w14:paraId="1A9BCAB9">
      <w:pPr>
        <w:widowControl/>
        <w:adjustRightInd w:val="0"/>
        <w:ind w:firstLine="560" w:firstLineChars="200"/>
        <w:jc w:val="center"/>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object>
          <v:shape id="_x0000_i1028" o:spt="75" type="#_x0000_t75" style="height:20.45pt;width:66.35pt;" o:ole="t" filled="f" o:preferrelative="t" stroked="f" coordsize="21600,21600">
            <v:path/>
            <v:fill on="f" focussize="0,0"/>
            <v:stroke on="f" joinstyle="miter"/>
            <v:imagedata r:id="rId45" o:title=""/>
            <o:lock v:ext="edit" aspectratio="t"/>
            <w10:wrap type="none"/>
            <w10:anchorlock/>
          </v:shape>
          <o:OLEObject Type="Embed" ProgID="Equation.3" ShapeID="_x0000_i1028" DrawAspect="Content" ObjectID="_1468075728" r:id="rId44">
            <o:LockedField>false</o:LockedField>
          </o:OLEObject>
        </w:object>
      </w:r>
      <w:r>
        <w:rPr>
          <w:rFonts w:cs="Times New Roman"/>
          <w:color w:val="000000" w:themeColor="text1"/>
          <w:sz w:val="28"/>
          <w:szCs w:val="28"/>
          <w14:textFill>
            <w14:solidFill>
              <w14:schemeClr w14:val="tx1"/>
            </w14:solidFill>
          </w14:textFill>
        </w:rPr>
        <w:t>—水资源可利用（开采）量；</w:t>
      </w:r>
    </w:p>
    <w:p w14:paraId="65BCDECA">
      <w:pPr>
        <w:widowControl/>
        <w:adjustRightInd w:val="0"/>
        <w:ind w:firstLine="560" w:firstLineChars="200"/>
        <w:jc w:val="center"/>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object>
          <v:shape id="_x0000_i1029" o:spt="75" type="#_x0000_t75" style="height:20.45pt;width:72pt;" o:ole="t" filled="f" o:preferrelative="t" stroked="f" coordsize="21600,21600">
            <v:path/>
            <v:fill on="f" focussize="0,0"/>
            <v:stroke on="f" joinstyle="miter"/>
            <v:imagedata r:id="rId47" o:title=""/>
            <o:lock v:ext="edit" aspectratio="t"/>
            <w10:wrap type="none"/>
            <w10:anchorlock/>
          </v:shape>
          <o:OLEObject Type="Embed" ProgID="Equation.3" ShapeID="_x0000_i1029" DrawAspect="Content" ObjectID="_1468075729" r:id="rId46">
            <o:LockedField>false</o:LockedField>
          </o:OLEObject>
        </w:object>
      </w:r>
      <w:r>
        <w:rPr>
          <w:rFonts w:cs="Times New Roman"/>
          <w:color w:val="000000" w:themeColor="text1"/>
          <w:sz w:val="28"/>
          <w:szCs w:val="28"/>
          <w14:textFill>
            <w14:solidFill>
              <w14:schemeClr w14:val="tx1"/>
            </w14:solidFill>
          </w14:textFill>
        </w:rPr>
        <w:t>—实际开发（开采）利用量。</w:t>
      </w:r>
    </w:p>
    <w:p w14:paraId="585DF5C5">
      <w:pPr>
        <w:widowControl/>
        <w:adjustRightInd w:val="0"/>
        <w:ind w:firstLine="562" w:firstLineChars="200"/>
        <w:jc w:val="left"/>
        <w:rPr>
          <w:rFonts w:cs="Times New Roman"/>
          <w:b/>
          <w:bCs/>
          <w:sz w:val="28"/>
          <w:szCs w:val="28"/>
        </w:rPr>
      </w:pPr>
      <w:r>
        <w:rPr>
          <w:rFonts w:cs="Times New Roman"/>
          <w:b/>
          <w:bCs/>
          <w:sz w:val="28"/>
          <w:szCs w:val="28"/>
        </w:rPr>
        <w:t>地表水</w:t>
      </w:r>
      <w:r>
        <w:rPr>
          <w:rFonts w:hint="eastAsia" w:cs="Times New Roman"/>
          <w:b/>
          <w:bCs/>
          <w:sz w:val="28"/>
          <w:szCs w:val="28"/>
        </w:rPr>
        <w:t>：</w:t>
      </w:r>
      <w:r>
        <w:rPr>
          <w:rFonts w:hint="eastAsia" w:cs="Times New Roman"/>
          <w:sz w:val="28"/>
          <w:szCs w:val="28"/>
        </w:rPr>
        <w:t>根据《评价技术报告》成果，九原区多年平均地表水可利用量为</w:t>
      </w:r>
      <w:r>
        <w:rPr>
          <w:rFonts w:cs="Times New Roman"/>
          <w:sz w:val="28"/>
          <w:szCs w:val="28"/>
        </w:rPr>
        <w:t>823</w:t>
      </w:r>
      <w:r>
        <w:rPr>
          <w:rFonts w:hint="eastAsia" w:cs="Times New Roman"/>
          <w:sz w:val="28"/>
          <w:szCs w:val="28"/>
        </w:rPr>
        <w:t>万m</w:t>
      </w:r>
      <w:r>
        <w:rPr>
          <w:rFonts w:cs="Times New Roman"/>
          <w:sz w:val="28"/>
          <w:szCs w:val="28"/>
          <w:vertAlign w:val="superscript"/>
        </w:rPr>
        <w:t>3</w:t>
      </w:r>
      <w:r>
        <w:rPr>
          <w:rFonts w:cs="Times New Roman"/>
          <w:sz w:val="28"/>
          <w:szCs w:val="28"/>
        </w:rPr>
        <w:t>，</w:t>
      </w:r>
      <w:r>
        <w:rPr>
          <w:rFonts w:hint="eastAsia" w:cs="Times New Roman"/>
          <w:sz w:val="28"/>
          <w:szCs w:val="28"/>
        </w:rPr>
        <w:t>九原区境内地表水多为季节性河流，并无供水工程。</w:t>
      </w:r>
      <w:r>
        <w:rPr>
          <w:rFonts w:cs="Times New Roman"/>
          <w:sz w:val="28"/>
          <w:szCs w:val="28"/>
        </w:rPr>
        <w:t>现状年（202</w:t>
      </w:r>
      <w:r>
        <w:rPr>
          <w:rFonts w:hint="eastAsia" w:cs="Times New Roman"/>
          <w:sz w:val="28"/>
          <w:szCs w:val="28"/>
        </w:rPr>
        <w:t>3</w:t>
      </w:r>
      <w:r>
        <w:rPr>
          <w:rFonts w:cs="Times New Roman"/>
          <w:sz w:val="28"/>
          <w:szCs w:val="28"/>
        </w:rPr>
        <w:t>年）</w:t>
      </w:r>
      <w:r>
        <w:rPr>
          <w:rFonts w:hint="eastAsia" w:cs="Times New Roman"/>
          <w:sz w:val="28"/>
          <w:szCs w:val="28"/>
        </w:rPr>
        <w:t>当地</w:t>
      </w:r>
      <w:r>
        <w:rPr>
          <w:rFonts w:cs="Times New Roman"/>
          <w:sz w:val="28"/>
          <w:szCs w:val="28"/>
        </w:rPr>
        <w:t>实际开发利用量为0万m</w:t>
      </w:r>
      <w:r>
        <w:rPr>
          <w:rFonts w:cs="Times New Roman"/>
          <w:sz w:val="28"/>
          <w:szCs w:val="28"/>
          <w:vertAlign w:val="superscript"/>
        </w:rPr>
        <w:t>3</w:t>
      </w:r>
      <w:r>
        <w:rPr>
          <w:rFonts w:cs="Times New Roman"/>
          <w:sz w:val="28"/>
          <w:szCs w:val="28"/>
        </w:rPr>
        <w:t>。</w:t>
      </w:r>
      <w:r>
        <w:rPr>
          <w:rFonts w:hint="eastAsia" w:cs="Times New Roman"/>
          <w:sz w:val="28"/>
          <w:szCs w:val="28"/>
        </w:rPr>
        <w:t>九原区仅有黄河水分配指标4031万</w:t>
      </w:r>
      <w:r>
        <w:rPr>
          <w:rFonts w:cs="Times New Roman"/>
          <w:sz w:val="28"/>
          <w:szCs w:val="28"/>
        </w:rPr>
        <w:t>m</w:t>
      </w:r>
      <w:r>
        <w:rPr>
          <w:rFonts w:cs="Times New Roman"/>
          <w:sz w:val="28"/>
          <w:szCs w:val="28"/>
          <w:vertAlign w:val="superscript"/>
        </w:rPr>
        <w:t>3</w:t>
      </w:r>
      <w:r>
        <w:rPr>
          <w:rFonts w:cs="Times New Roman"/>
          <w:sz w:val="28"/>
          <w:szCs w:val="28"/>
        </w:rPr>
        <w:t>。</w:t>
      </w:r>
    </w:p>
    <w:p w14:paraId="4D1654E7">
      <w:pPr>
        <w:widowControl/>
        <w:adjustRightInd w:val="0"/>
        <w:ind w:firstLine="562" w:firstLineChars="200"/>
        <w:jc w:val="left"/>
        <w:rPr>
          <w:rFonts w:cs="Times New Roman"/>
          <w:sz w:val="28"/>
          <w:szCs w:val="28"/>
        </w:rPr>
      </w:pPr>
      <w:r>
        <w:rPr>
          <w:rFonts w:cs="Times New Roman"/>
          <w:b/>
          <w:bCs/>
          <w:sz w:val="28"/>
          <w:szCs w:val="28"/>
        </w:rPr>
        <w:t>地下水</w:t>
      </w:r>
      <w:r>
        <w:rPr>
          <w:rFonts w:hint="eastAsia" w:cs="Times New Roman"/>
          <w:b/>
          <w:bCs/>
          <w:sz w:val="28"/>
          <w:szCs w:val="28"/>
        </w:rPr>
        <w:t>：</w:t>
      </w:r>
      <w:r>
        <w:rPr>
          <w:rFonts w:cs="Times New Roman"/>
          <w:sz w:val="28"/>
          <w:szCs w:val="28"/>
        </w:rPr>
        <w:t>九原区地下水可开采量为2085万m</w:t>
      </w:r>
      <w:r>
        <w:rPr>
          <w:rFonts w:cs="Times New Roman"/>
          <w:sz w:val="28"/>
          <w:szCs w:val="28"/>
          <w:vertAlign w:val="superscript"/>
        </w:rPr>
        <w:t>3</w:t>
      </w:r>
      <w:r>
        <w:rPr>
          <w:rFonts w:cs="Times New Roman"/>
          <w:sz w:val="28"/>
          <w:szCs w:val="28"/>
        </w:rPr>
        <w:t>，现状年（202</w:t>
      </w:r>
      <w:r>
        <w:rPr>
          <w:rFonts w:hint="eastAsia" w:cs="Times New Roman"/>
          <w:sz w:val="28"/>
          <w:szCs w:val="28"/>
        </w:rPr>
        <w:t>3</w:t>
      </w:r>
      <w:r>
        <w:rPr>
          <w:rFonts w:cs="Times New Roman"/>
          <w:sz w:val="28"/>
          <w:szCs w:val="28"/>
        </w:rPr>
        <w:t>年）实际利用量为</w:t>
      </w:r>
      <w:r>
        <w:rPr>
          <w:rFonts w:hint="eastAsia" w:cs="Times New Roman"/>
          <w:sz w:val="28"/>
          <w:szCs w:val="28"/>
        </w:rPr>
        <w:t>5483</w:t>
      </w:r>
      <w:r>
        <w:rPr>
          <w:rFonts w:cs="Times New Roman"/>
          <w:sz w:val="28"/>
          <w:szCs w:val="28"/>
        </w:rPr>
        <w:t>万m</w:t>
      </w:r>
      <w:r>
        <w:rPr>
          <w:rFonts w:cs="Times New Roman"/>
          <w:sz w:val="28"/>
          <w:szCs w:val="28"/>
          <w:vertAlign w:val="superscript"/>
        </w:rPr>
        <w:t>3</w:t>
      </w:r>
      <w:r>
        <w:rPr>
          <w:rFonts w:cs="Times New Roman"/>
          <w:sz w:val="28"/>
          <w:szCs w:val="28"/>
        </w:rPr>
        <w:t>。地下水开采利用潜力为0万</w:t>
      </w:r>
      <w:bookmarkStart w:id="89" w:name="OLE_LINK16"/>
      <w:r>
        <w:rPr>
          <w:rFonts w:cs="Times New Roman"/>
          <w:sz w:val="28"/>
          <w:szCs w:val="28"/>
        </w:rPr>
        <w:t>m</w:t>
      </w:r>
      <w:r>
        <w:rPr>
          <w:rFonts w:cs="Times New Roman"/>
          <w:sz w:val="28"/>
          <w:szCs w:val="28"/>
          <w:vertAlign w:val="superscript"/>
        </w:rPr>
        <w:t>3</w:t>
      </w:r>
      <w:r>
        <w:rPr>
          <w:rFonts w:cs="Times New Roman"/>
          <w:sz w:val="28"/>
          <w:szCs w:val="28"/>
        </w:rPr>
        <w:t>。</w:t>
      </w:r>
    </w:p>
    <w:bookmarkEnd w:id="89"/>
    <w:p w14:paraId="3689C88B">
      <w:pPr>
        <w:widowControl/>
        <w:adjustRightInd w:val="0"/>
        <w:ind w:firstLine="562" w:firstLineChars="200"/>
        <w:rPr>
          <w:rFonts w:cs="Times New Roman"/>
          <w:b/>
          <w:bCs/>
          <w:sz w:val="28"/>
          <w:szCs w:val="28"/>
        </w:rPr>
      </w:pPr>
      <w:r>
        <w:rPr>
          <w:rFonts w:cs="Times New Roman"/>
          <w:b/>
          <w:bCs/>
          <w:sz w:val="28"/>
          <w:szCs w:val="28"/>
        </w:rPr>
        <w:t>总潜力</w:t>
      </w:r>
      <w:r>
        <w:rPr>
          <w:rFonts w:hint="eastAsia" w:cs="Times New Roman"/>
          <w:b/>
          <w:bCs/>
          <w:sz w:val="28"/>
          <w:szCs w:val="28"/>
        </w:rPr>
        <w:t>：</w:t>
      </w:r>
      <w:r>
        <w:rPr>
          <w:rFonts w:cs="Times New Roman"/>
          <w:sz w:val="28"/>
          <w:szCs w:val="28"/>
        </w:rPr>
        <w:t>汇总上面地表水开发利用潜力和地下水开采利用潜</w:t>
      </w:r>
      <w:r>
        <w:rPr>
          <w:rFonts w:cs="Times New Roman"/>
          <w:b/>
          <w:bCs/>
          <w:sz w:val="28"/>
          <w:szCs w:val="28"/>
        </w:rPr>
        <w:t>力，在现状开发利用条件下，九原区水资源开源总潜力为0万m</w:t>
      </w:r>
      <w:r>
        <w:rPr>
          <w:rFonts w:cs="Times New Roman"/>
          <w:b/>
          <w:bCs/>
          <w:sz w:val="28"/>
          <w:szCs w:val="28"/>
          <w:vertAlign w:val="superscript"/>
        </w:rPr>
        <w:t>3</w:t>
      </w:r>
      <w:r>
        <w:rPr>
          <w:rFonts w:cs="Times New Roman"/>
          <w:b/>
          <w:bCs/>
          <w:sz w:val="28"/>
          <w:szCs w:val="28"/>
        </w:rPr>
        <w:t>。</w:t>
      </w:r>
      <w:r>
        <w:rPr>
          <w:rFonts w:hint="eastAsia" w:cs="Times New Roman"/>
          <w:b/>
          <w:bCs/>
          <w:sz w:val="28"/>
          <w:szCs w:val="28"/>
        </w:rPr>
        <w:t>九原区地表水开采存在超载，地下水开采存在超采情况。</w:t>
      </w:r>
    </w:p>
    <w:p w14:paraId="5EDF5D3A">
      <w:pPr>
        <w:widowControl/>
        <w:adjustRightInd w:val="0"/>
        <w:spacing w:line="240" w:lineRule="auto"/>
        <w:jc w:val="center"/>
        <w:rPr>
          <w:rFonts w:cs="Times New Roman"/>
          <w:b/>
          <w:bCs/>
          <w:sz w:val="28"/>
          <w:szCs w:val="28"/>
        </w:rPr>
      </w:pPr>
      <w:r>
        <w:rPr>
          <w:rFonts w:cs="Times New Roman"/>
          <w:b/>
          <w:bCs/>
          <w:sz w:val="28"/>
          <w:szCs w:val="28"/>
        </w:rPr>
        <w:t>表</w:t>
      </w:r>
      <w:r>
        <w:rPr>
          <w:rFonts w:hint="eastAsia" w:cs="Times New Roman"/>
          <w:b/>
          <w:bCs/>
          <w:sz w:val="28"/>
          <w:szCs w:val="28"/>
        </w:rPr>
        <w:t>4</w:t>
      </w:r>
      <w:r>
        <w:rPr>
          <w:rFonts w:cs="Times New Roman"/>
          <w:b/>
          <w:bCs/>
          <w:sz w:val="28"/>
          <w:szCs w:val="28"/>
        </w:rPr>
        <w:t>-</w:t>
      </w:r>
      <w:r>
        <w:rPr>
          <w:rFonts w:hint="eastAsia" w:cs="Times New Roman"/>
          <w:b/>
          <w:bCs/>
          <w:sz w:val="28"/>
          <w:szCs w:val="28"/>
        </w:rPr>
        <w:t>4</w:t>
      </w:r>
      <w:r>
        <w:rPr>
          <w:rFonts w:cs="Times New Roman"/>
          <w:b/>
          <w:bCs/>
          <w:sz w:val="28"/>
          <w:szCs w:val="28"/>
        </w:rPr>
        <w:t xml:space="preserve">  开源潜力表</w:t>
      </w:r>
      <w:r>
        <w:rPr>
          <w:rFonts w:hint="eastAsia" w:cs="Times New Roman"/>
          <w:b/>
          <w:bCs/>
          <w:sz w:val="28"/>
          <w:szCs w:val="28"/>
        </w:rPr>
        <w:t xml:space="preserve">  单位：</w:t>
      </w:r>
      <w:r>
        <w:rPr>
          <w:rFonts w:cs="Times New Roman"/>
          <w:b/>
          <w:bCs/>
          <w:sz w:val="28"/>
          <w:szCs w:val="28"/>
        </w:rPr>
        <w:t>万m</w:t>
      </w:r>
      <w:r>
        <w:rPr>
          <w:rFonts w:cs="Times New Roman"/>
          <w:b/>
          <w:bCs/>
          <w:sz w:val="28"/>
          <w:szCs w:val="28"/>
          <w:vertAlign w:val="superscript"/>
        </w:rPr>
        <w:t>3</w:t>
      </w:r>
    </w:p>
    <w:tbl>
      <w:tblPr>
        <w:tblStyle w:val="19"/>
        <w:tblW w:w="5000" w:type="pct"/>
        <w:tblInd w:w="0" w:type="dxa"/>
        <w:tblLayout w:type="autofit"/>
        <w:tblCellMar>
          <w:top w:w="0" w:type="dxa"/>
          <w:left w:w="108" w:type="dxa"/>
          <w:bottom w:w="0" w:type="dxa"/>
          <w:right w:w="108" w:type="dxa"/>
        </w:tblCellMar>
      </w:tblPr>
      <w:tblGrid>
        <w:gridCol w:w="931"/>
        <w:gridCol w:w="1100"/>
        <w:gridCol w:w="1556"/>
        <w:gridCol w:w="875"/>
        <w:gridCol w:w="1100"/>
        <w:gridCol w:w="1321"/>
        <w:gridCol w:w="737"/>
        <w:gridCol w:w="902"/>
      </w:tblGrid>
      <w:tr w14:paraId="3EBA1604">
        <w:tblPrEx>
          <w:tblCellMar>
            <w:top w:w="0" w:type="dxa"/>
            <w:left w:w="108" w:type="dxa"/>
            <w:bottom w:w="0" w:type="dxa"/>
            <w:right w:w="108" w:type="dxa"/>
          </w:tblCellMar>
        </w:tblPrEx>
        <w:trPr>
          <w:trHeight w:val="228" w:hRule="atLeast"/>
        </w:trPr>
        <w:tc>
          <w:tcPr>
            <w:tcW w:w="55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A086704">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项目</w:t>
            </w:r>
          </w:p>
        </w:tc>
        <w:tc>
          <w:tcPr>
            <w:tcW w:w="2099" w:type="pct"/>
            <w:gridSpan w:val="3"/>
            <w:tcBorders>
              <w:top w:val="single" w:color="auto" w:sz="4" w:space="0"/>
              <w:left w:val="nil"/>
              <w:bottom w:val="single" w:color="auto" w:sz="4" w:space="0"/>
              <w:right w:val="single" w:color="auto" w:sz="4" w:space="0"/>
            </w:tcBorders>
            <w:shd w:val="clear" w:color="auto" w:fill="auto"/>
            <w:noWrap/>
            <w:vAlign w:val="center"/>
          </w:tcPr>
          <w:p w14:paraId="6F64E256">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地表水</w:t>
            </w:r>
          </w:p>
        </w:tc>
        <w:tc>
          <w:tcPr>
            <w:tcW w:w="1790" w:type="pct"/>
            <w:gridSpan w:val="3"/>
            <w:tcBorders>
              <w:top w:val="single" w:color="auto" w:sz="4" w:space="0"/>
              <w:left w:val="nil"/>
              <w:bottom w:val="single" w:color="auto" w:sz="4" w:space="0"/>
              <w:right w:val="single" w:color="auto" w:sz="4" w:space="0"/>
            </w:tcBorders>
            <w:shd w:val="clear" w:color="auto" w:fill="auto"/>
            <w:noWrap/>
            <w:vAlign w:val="center"/>
          </w:tcPr>
          <w:p w14:paraId="0C4BEDF0">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地下水</w:t>
            </w:r>
          </w:p>
        </w:tc>
        <w:tc>
          <w:tcPr>
            <w:tcW w:w="55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7F3CADB">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合计</w:t>
            </w:r>
          </w:p>
        </w:tc>
      </w:tr>
      <w:tr w14:paraId="00F08D10">
        <w:tblPrEx>
          <w:tblCellMar>
            <w:top w:w="0" w:type="dxa"/>
            <w:left w:w="108" w:type="dxa"/>
            <w:bottom w:w="0" w:type="dxa"/>
            <w:right w:w="108" w:type="dxa"/>
          </w:tblCellMar>
        </w:tblPrEx>
        <w:trPr>
          <w:trHeight w:val="228" w:hRule="atLeast"/>
        </w:trPr>
        <w:tc>
          <w:tcPr>
            <w:tcW w:w="556" w:type="pct"/>
            <w:vMerge w:val="continue"/>
            <w:tcBorders>
              <w:top w:val="single" w:color="auto" w:sz="4" w:space="0"/>
              <w:left w:val="single" w:color="auto" w:sz="4" w:space="0"/>
              <w:bottom w:val="single" w:color="auto" w:sz="4" w:space="0"/>
              <w:right w:val="single" w:color="auto" w:sz="4" w:space="0"/>
            </w:tcBorders>
            <w:vAlign w:val="center"/>
          </w:tcPr>
          <w:p w14:paraId="03EB64DC">
            <w:pPr>
              <w:adjustRightInd w:val="0"/>
              <w:spacing w:line="240" w:lineRule="auto"/>
              <w:rPr>
                <w:rFonts w:cs="Times New Roman"/>
                <w:b/>
                <w:bCs/>
                <w:color w:val="000000" w:themeColor="text1"/>
                <w:sz w:val="22"/>
                <w14:textFill>
                  <w14:solidFill>
                    <w14:schemeClr w14:val="tx1"/>
                  </w14:solidFill>
                </w14:textFill>
              </w:rPr>
            </w:pPr>
          </w:p>
        </w:tc>
        <w:tc>
          <w:tcPr>
            <w:tcW w:w="603" w:type="pct"/>
            <w:tcBorders>
              <w:top w:val="nil"/>
              <w:left w:val="nil"/>
              <w:bottom w:val="single" w:color="auto" w:sz="4" w:space="0"/>
              <w:right w:val="single" w:color="auto" w:sz="4" w:space="0"/>
            </w:tcBorders>
            <w:shd w:val="clear" w:color="auto" w:fill="auto"/>
            <w:noWrap/>
            <w:vAlign w:val="center"/>
          </w:tcPr>
          <w:p w14:paraId="7888F162">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可利用量</w:t>
            </w:r>
          </w:p>
        </w:tc>
        <w:tc>
          <w:tcPr>
            <w:tcW w:w="956" w:type="pct"/>
            <w:tcBorders>
              <w:top w:val="nil"/>
              <w:left w:val="nil"/>
              <w:bottom w:val="single" w:color="auto" w:sz="4" w:space="0"/>
              <w:right w:val="single" w:color="auto" w:sz="4" w:space="0"/>
            </w:tcBorders>
            <w:shd w:val="clear" w:color="auto" w:fill="auto"/>
            <w:noWrap/>
            <w:vAlign w:val="center"/>
          </w:tcPr>
          <w:p w14:paraId="38A135E9">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黄河水权分配</w:t>
            </w:r>
          </w:p>
        </w:tc>
        <w:tc>
          <w:tcPr>
            <w:tcW w:w="540" w:type="pct"/>
            <w:tcBorders>
              <w:top w:val="nil"/>
              <w:left w:val="nil"/>
              <w:bottom w:val="single" w:color="auto" w:sz="4" w:space="0"/>
              <w:right w:val="single" w:color="auto" w:sz="4" w:space="0"/>
            </w:tcBorders>
            <w:shd w:val="clear" w:color="auto" w:fill="auto"/>
            <w:noWrap/>
            <w:vAlign w:val="center"/>
          </w:tcPr>
          <w:p w14:paraId="1B9E087C">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潜力</w:t>
            </w:r>
          </w:p>
        </w:tc>
        <w:tc>
          <w:tcPr>
            <w:tcW w:w="629" w:type="pct"/>
            <w:tcBorders>
              <w:top w:val="nil"/>
              <w:left w:val="nil"/>
              <w:bottom w:val="single" w:color="auto" w:sz="4" w:space="0"/>
              <w:right w:val="single" w:color="auto" w:sz="4" w:space="0"/>
            </w:tcBorders>
            <w:shd w:val="clear" w:color="auto" w:fill="auto"/>
            <w:noWrap/>
            <w:vAlign w:val="center"/>
          </w:tcPr>
          <w:p w14:paraId="18B8328C">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可开采量</w:t>
            </w:r>
          </w:p>
        </w:tc>
        <w:tc>
          <w:tcPr>
            <w:tcW w:w="702" w:type="pct"/>
            <w:tcBorders>
              <w:top w:val="nil"/>
              <w:left w:val="nil"/>
              <w:bottom w:val="single" w:color="auto" w:sz="4" w:space="0"/>
              <w:right w:val="single" w:color="auto" w:sz="4" w:space="0"/>
            </w:tcBorders>
            <w:shd w:val="clear" w:color="auto" w:fill="auto"/>
            <w:noWrap/>
            <w:vAlign w:val="center"/>
          </w:tcPr>
          <w:p w14:paraId="6D77F2DB">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现状开采量</w:t>
            </w:r>
          </w:p>
        </w:tc>
        <w:tc>
          <w:tcPr>
            <w:tcW w:w="459" w:type="pct"/>
            <w:tcBorders>
              <w:top w:val="nil"/>
              <w:left w:val="nil"/>
              <w:bottom w:val="single" w:color="auto" w:sz="4" w:space="0"/>
              <w:right w:val="single" w:color="auto" w:sz="4" w:space="0"/>
            </w:tcBorders>
            <w:shd w:val="clear" w:color="auto" w:fill="auto"/>
            <w:noWrap/>
            <w:vAlign w:val="center"/>
          </w:tcPr>
          <w:p w14:paraId="2DACBF22">
            <w:pPr>
              <w:adjustRightInd w:val="0"/>
              <w:spacing w:line="240" w:lineRule="auto"/>
              <w:jc w:val="center"/>
              <w:rPr>
                <w:rFonts w:cs="Times New Roman"/>
                <w:b/>
                <w:bCs/>
                <w:color w:val="000000" w:themeColor="text1"/>
                <w:sz w:val="22"/>
                <w14:textFill>
                  <w14:solidFill>
                    <w14:schemeClr w14:val="tx1"/>
                  </w14:solidFill>
                </w14:textFill>
              </w:rPr>
            </w:pPr>
            <w:r>
              <w:rPr>
                <w:rFonts w:cs="Times New Roman"/>
                <w:b/>
                <w:bCs/>
                <w:color w:val="000000" w:themeColor="text1"/>
                <w:sz w:val="22"/>
                <w14:textFill>
                  <w14:solidFill>
                    <w14:schemeClr w14:val="tx1"/>
                  </w14:solidFill>
                </w14:textFill>
              </w:rPr>
              <w:t>潜力</w:t>
            </w:r>
          </w:p>
        </w:tc>
        <w:tc>
          <w:tcPr>
            <w:tcW w:w="556" w:type="pct"/>
            <w:vMerge w:val="continue"/>
            <w:tcBorders>
              <w:top w:val="single" w:color="auto" w:sz="4" w:space="0"/>
              <w:left w:val="single" w:color="auto" w:sz="4" w:space="0"/>
              <w:bottom w:val="single" w:color="auto" w:sz="4" w:space="0"/>
              <w:right w:val="single" w:color="auto" w:sz="4" w:space="0"/>
            </w:tcBorders>
            <w:vAlign w:val="center"/>
          </w:tcPr>
          <w:p w14:paraId="572D53B1">
            <w:pPr>
              <w:adjustRightInd w:val="0"/>
              <w:spacing w:line="240" w:lineRule="auto"/>
              <w:jc w:val="center"/>
              <w:rPr>
                <w:rFonts w:cs="Times New Roman"/>
                <w:color w:val="000000" w:themeColor="text1"/>
                <w:sz w:val="22"/>
                <w14:textFill>
                  <w14:solidFill>
                    <w14:schemeClr w14:val="tx1"/>
                  </w14:solidFill>
                </w14:textFill>
              </w:rPr>
            </w:pPr>
          </w:p>
        </w:tc>
      </w:tr>
      <w:tr w14:paraId="235223FA">
        <w:tblPrEx>
          <w:tblCellMar>
            <w:top w:w="0" w:type="dxa"/>
            <w:left w:w="108" w:type="dxa"/>
            <w:bottom w:w="0" w:type="dxa"/>
            <w:right w:w="108" w:type="dxa"/>
          </w:tblCellMar>
        </w:tblPrEx>
        <w:trPr>
          <w:trHeight w:val="228"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27605789">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202</w:t>
            </w:r>
            <w:r>
              <w:rPr>
                <w:rFonts w:hint="eastAsia" w:cs="Times New Roman"/>
                <w:color w:val="000000" w:themeColor="text1"/>
                <w:sz w:val="22"/>
                <w14:textFill>
                  <w14:solidFill>
                    <w14:schemeClr w14:val="tx1"/>
                  </w14:solidFill>
                </w14:textFill>
              </w:rPr>
              <w:t>3</w:t>
            </w:r>
            <w:r>
              <w:rPr>
                <w:rFonts w:cs="Times New Roman"/>
                <w:color w:val="000000" w:themeColor="text1"/>
                <w:sz w:val="22"/>
                <w14:textFill>
                  <w14:solidFill>
                    <w14:schemeClr w14:val="tx1"/>
                  </w14:solidFill>
                </w14:textFill>
              </w:rPr>
              <w:t>年</w:t>
            </w:r>
          </w:p>
        </w:tc>
        <w:tc>
          <w:tcPr>
            <w:tcW w:w="603" w:type="pct"/>
            <w:tcBorders>
              <w:top w:val="nil"/>
              <w:left w:val="nil"/>
              <w:bottom w:val="single" w:color="auto" w:sz="4" w:space="0"/>
              <w:right w:val="single" w:color="auto" w:sz="4" w:space="0"/>
            </w:tcBorders>
            <w:shd w:val="clear" w:color="auto" w:fill="auto"/>
            <w:noWrap/>
            <w:vAlign w:val="center"/>
          </w:tcPr>
          <w:p w14:paraId="360AE981">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823</w:t>
            </w:r>
          </w:p>
        </w:tc>
        <w:tc>
          <w:tcPr>
            <w:tcW w:w="956" w:type="pct"/>
            <w:tcBorders>
              <w:top w:val="nil"/>
              <w:left w:val="nil"/>
              <w:bottom w:val="single" w:color="auto" w:sz="4" w:space="0"/>
              <w:right w:val="single" w:color="auto" w:sz="4" w:space="0"/>
            </w:tcBorders>
            <w:shd w:val="clear" w:color="auto" w:fill="auto"/>
            <w:noWrap/>
            <w:vAlign w:val="center"/>
          </w:tcPr>
          <w:p w14:paraId="5BACCAD2">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4031</w:t>
            </w:r>
          </w:p>
        </w:tc>
        <w:tc>
          <w:tcPr>
            <w:tcW w:w="540" w:type="pct"/>
            <w:tcBorders>
              <w:top w:val="nil"/>
              <w:left w:val="nil"/>
              <w:bottom w:val="single" w:color="auto" w:sz="4" w:space="0"/>
              <w:right w:val="single" w:color="auto" w:sz="4" w:space="0"/>
            </w:tcBorders>
            <w:shd w:val="clear" w:color="auto" w:fill="auto"/>
            <w:noWrap/>
            <w:vAlign w:val="center"/>
          </w:tcPr>
          <w:p w14:paraId="0EEDD16E">
            <w:pPr>
              <w:adjustRightInd w:val="0"/>
              <w:spacing w:line="240" w:lineRule="auto"/>
              <w:jc w:val="center"/>
              <w:rPr>
                <w:rFonts w:cs="Times New Roman"/>
                <w:color w:val="000000" w:themeColor="text1"/>
                <w:sz w:val="22"/>
                <w14:textFill>
                  <w14:solidFill>
                    <w14:schemeClr w14:val="tx1"/>
                  </w14:solidFill>
                </w14:textFill>
              </w:rPr>
            </w:pPr>
            <w:r>
              <w:rPr>
                <w:rFonts w:hint="eastAsia" w:cs="Times New Roman"/>
                <w:color w:val="000000" w:themeColor="text1"/>
                <w:sz w:val="22"/>
                <w14:textFill>
                  <w14:solidFill>
                    <w14:schemeClr w14:val="tx1"/>
                  </w14:solidFill>
                </w14:textFill>
              </w:rPr>
              <w:t>0</w:t>
            </w:r>
          </w:p>
        </w:tc>
        <w:tc>
          <w:tcPr>
            <w:tcW w:w="629" w:type="pct"/>
            <w:tcBorders>
              <w:top w:val="nil"/>
              <w:left w:val="nil"/>
              <w:bottom w:val="single" w:color="auto" w:sz="4" w:space="0"/>
              <w:right w:val="single" w:color="auto" w:sz="4" w:space="0"/>
            </w:tcBorders>
            <w:shd w:val="clear" w:color="auto" w:fill="auto"/>
            <w:noWrap/>
            <w:vAlign w:val="center"/>
          </w:tcPr>
          <w:p w14:paraId="54881518">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2085</w:t>
            </w:r>
          </w:p>
        </w:tc>
        <w:tc>
          <w:tcPr>
            <w:tcW w:w="702" w:type="pct"/>
            <w:tcBorders>
              <w:top w:val="nil"/>
              <w:left w:val="nil"/>
              <w:bottom w:val="single" w:color="auto" w:sz="4" w:space="0"/>
              <w:right w:val="single" w:color="auto" w:sz="4" w:space="0"/>
            </w:tcBorders>
            <w:shd w:val="clear" w:color="auto" w:fill="auto"/>
            <w:noWrap/>
            <w:vAlign w:val="center"/>
          </w:tcPr>
          <w:p w14:paraId="039E130A">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5</w:t>
            </w:r>
            <w:r>
              <w:rPr>
                <w:rFonts w:hint="eastAsia" w:cs="Times New Roman"/>
                <w:color w:val="000000" w:themeColor="text1"/>
                <w:sz w:val="22"/>
                <w14:textFill>
                  <w14:solidFill>
                    <w14:schemeClr w14:val="tx1"/>
                  </w14:solidFill>
                </w14:textFill>
              </w:rPr>
              <w:t>483</w:t>
            </w:r>
          </w:p>
        </w:tc>
        <w:tc>
          <w:tcPr>
            <w:tcW w:w="459" w:type="pct"/>
            <w:tcBorders>
              <w:top w:val="nil"/>
              <w:left w:val="nil"/>
              <w:bottom w:val="single" w:color="auto" w:sz="4" w:space="0"/>
              <w:right w:val="single" w:color="auto" w:sz="4" w:space="0"/>
            </w:tcBorders>
            <w:shd w:val="clear" w:color="auto" w:fill="auto"/>
            <w:noWrap/>
            <w:vAlign w:val="center"/>
          </w:tcPr>
          <w:p w14:paraId="624D0786">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0</w:t>
            </w:r>
          </w:p>
        </w:tc>
        <w:tc>
          <w:tcPr>
            <w:tcW w:w="556" w:type="pct"/>
            <w:tcBorders>
              <w:top w:val="nil"/>
              <w:left w:val="nil"/>
              <w:bottom w:val="single" w:color="auto" w:sz="4" w:space="0"/>
              <w:right w:val="single" w:color="auto" w:sz="4" w:space="0"/>
            </w:tcBorders>
            <w:shd w:val="clear" w:color="auto" w:fill="auto"/>
            <w:noWrap/>
            <w:vAlign w:val="center"/>
          </w:tcPr>
          <w:p w14:paraId="402695EB">
            <w:pPr>
              <w:adjustRightInd w:val="0"/>
              <w:spacing w:line="240" w:lineRule="auto"/>
              <w:jc w:val="center"/>
              <w:rPr>
                <w:rFonts w:cs="Times New Roman"/>
                <w:color w:val="000000" w:themeColor="text1"/>
                <w:sz w:val="22"/>
                <w14:textFill>
                  <w14:solidFill>
                    <w14:schemeClr w14:val="tx1"/>
                  </w14:solidFill>
                </w14:textFill>
              </w:rPr>
            </w:pPr>
            <w:r>
              <w:rPr>
                <w:rFonts w:cs="Times New Roman"/>
                <w:color w:val="000000" w:themeColor="text1"/>
                <w:sz w:val="22"/>
                <w14:textFill>
                  <w14:solidFill>
                    <w14:schemeClr w14:val="tx1"/>
                  </w14:solidFill>
                </w14:textFill>
              </w:rPr>
              <w:t>0</w:t>
            </w:r>
          </w:p>
        </w:tc>
      </w:tr>
    </w:tbl>
    <w:p w14:paraId="7E3BE2D1">
      <w:pPr>
        <w:pStyle w:val="4"/>
        <w:widowControl/>
        <w:adjustRightInd w:val="0"/>
        <w:spacing w:before="156" w:beforeLines="50" w:after="0" w:line="360" w:lineRule="auto"/>
        <w:jc w:val="left"/>
        <w:rPr>
          <w:rFonts w:eastAsia="黑体" w:cs="Times New Roman"/>
          <w:b w:val="0"/>
          <w:bCs w:val="0"/>
          <w:kern w:val="0"/>
          <w:sz w:val="28"/>
          <w:szCs w:val="28"/>
        </w:rPr>
      </w:pPr>
      <w:bookmarkStart w:id="90" w:name="_Toc198652045"/>
      <w:r>
        <w:rPr>
          <w:rFonts w:eastAsia="黑体" w:cs="Times New Roman"/>
          <w:b w:val="0"/>
          <w:bCs w:val="0"/>
          <w:kern w:val="0"/>
          <w:sz w:val="28"/>
          <w:szCs w:val="28"/>
        </w:rPr>
        <w:t>4.2.2</w:t>
      </w:r>
      <w:bookmarkStart w:id="91" w:name="OLE_LINK6"/>
      <w:r>
        <w:rPr>
          <w:rFonts w:eastAsia="黑体" w:cs="Times New Roman"/>
          <w:b w:val="0"/>
          <w:bCs w:val="0"/>
          <w:kern w:val="0"/>
          <w:sz w:val="28"/>
          <w:szCs w:val="28"/>
        </w:rPr>
        <w:t>合理用水需求分析</w:t>
      </w:r>
      <w:bookmarkEnd w:id="90"/>
      <w:bookmarkEnd w:id="91"/>
    </w:p>
    <w:p w14:paraId="36BD8987">
      <w:pPr>
        <w:widowControl/>
        <w:adjustRightInd w:val="0"/>
        <w:ind w:firstLine="560" w:firstLineChars="200"/>
        <w:rPr>
          <w:rFonts w:cs="Times New Roman"/>
          <w:sz w:val="28"/>
          <w:szCs w:val="28"/>
        </w:rPr>
      </w:pPr>
      <w:r>
        <w:rPr>
          <w:rFonts w:cs="Times New Roman"/>
          <w:sz w:val="28"/>
          <w:szCs w:val="28"/>
        </w:rPr>
        <w:t>以水资源和水环境承载力为控制，以水资源开发利用和节约保护控制指标为约束，在深度节水控水、提高水资源利用效率前提下，充分考虑包头市</w:t>
      </w:r>
      <w:r>
        <w:rPr>
          <w:rFonts w:hint="eastAsia" w:cs="Times New Roman"/>
          <w:sz w:val="28"/>
          <w:szCs w:val="28"/>
        </w:rPr>
        <w:t>九原区</w:t>
      </w:r>
      <w:r>
        <w:rPr>
          <w:rFonts w:cs="Times New Roman"/>
          <w:sz w:val="28"/>
          <w:szCs w:val="28"/>
        </w:rPr>
        <w:t>经济社会高质量发展、粮食安全、生态安全、能源安全需求，对标对表“三新一高”要求，根据《内蒙古自治区“十四五”水资源配置利用规划》、《内蒙古自治区“十四五”节水型社会建设规划》、《包头市“十四五”及2035年远景目标水资源供需报告及配置方案2021年》</w:t>
      </w:r>
      <w:r>
        <w:rPr>
          <w:rFonts w:hint="eastAsia" w:cs="Times New Roman"/>
          <w:sz w:val="28"/>
          <w:szCs w:val="28"/>
        </w:rPr>
        <w:t>、</w:t>
      </w:r>
      <w:r>
        <w:rPr>
          <w:rFonts w:cs="Times New Roman"/>
          <w:sz w:val="28"/>
          <w:szCs w:val="28"/>
        </w:rPr>
        <w:t>《包头市水资源节约集约利用规划（2023~2035）》</w:t>
      </w:r>
      <w:r>
        <w:rPr>
          <w:rFonts w:hint="eastAsia" w:cs="Times New Roman"/>
          <w:sz w:val="28"/>
          <w:szCs w:val="28"/>
        </w:rPr>
        <w:t>及《包头市九原区节水型社会建设规划（2023-2030）》</w:t>
      </w:r>
      <w:r>
        <w:rPr>
          <w:rFonts w:cs="Times New Roman"/>
          <w:sz w:val="28"/>
          <w:szCs w:val="28"/>
        </w:rPr>
        <w:t>对用水总量、用水效率的控制要求，结合《室外给水设计标准》及《内蒙古自治区行业用水定额》等标准政策文件，按照刚性合理用水需求的界定范围，合理预测包头市</w:t>
      </w:r>
      <w:r>
        <w:rPr>
          <w:rFonts w:hint="eastAsia" w:cs="Times New Roman"/>
          <w:sz w:val="28"/>
          <w:szCs w:val="28"/>
        </w:rPr>
        <w:t>九原区</w:t>
      </w:r>
      <w:r>
        <w:rPr>
          <w:rFonts w:cs="Times New Roman"/>
          <w:sz w:val="28"/>
          <w:szCs w:val="28"/>
        </w:rPr>
        <w:t>未来用水定额与需水量。本次规划河道外需水预测包含生活、工业、农业及河道外生态需水等四大类，其中生活需水分为城镇居民综合生活需水（包含城镇居民生活及城镇公共）、农村居民生活需水。</w:t>
      </w:r>
    </w:p>
    <w:p w14:paraId="00F66B90">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 1 \* GB2 </w:instrText>
      </w:r>
      <w:r>
        <w:rPr>
          <w:rFonts w:cs="Times New Roman"/>
          <w:b/>
          <w:bCs/>
          <w:sz w:val="28"/>
          <w:szCs w:val="28"/>
        </w:rPr>
        <w:fldChar w:fldCharType="separate"/>
      </w:r>
      <w:r>
        <w:rPr>
          <w:rFonts w:hint="eastAsia" w:ascii="宋体" w:hAnsi="宋体" w:cs="宋体"/>
          <w:b/>
          <w:bCs/>
          <w:sz w:val="28"/>
          <w:szCs w:val="28"/>
        </w:rPr>
        <w:t>⑴</w:t>
      </w:r>
      <w:r>
        <w:rPr>
          <w:rFonts w:cs="Times New Roman"/>
          <w:b/>
          <w:bCs/>
          <w:sz w:val="28"/>
          <w:szCs w:val="28"/>
        </w:rPr>
        <w:fldChar w:fldCharType="end"/>
      </w:r>
      <w:r>
        <w:rPr>
          <w:rFonts w:cs="Times New Roman"/>
          <w:b/>
          <w:bCs/>
          <w:sz w:val="28"/>
          <w:szCs w:val="28"/>
        </w:rPr>
        <w:t>经济社会发展态势预测</w:t>
      </w:r>
    </w:p>
    <w:p w14:paraId="2EBF2B9C">
      <w:pPr>
        <w:widowControl/>
        <w:adjustRightInd w:val="0"/>
        <w:ind w:firstLine="560" w:firstLineChars="200"/>
        <w:rPr>
          <w:rFonts w:cs="Times New Roman"/>
          <w:sz w:val="28"/>
          <w:szCs w:val="28"/>
        </w:rPr>
      </w:pPr>
      <w:r>
        <w:rPr>
          <w:rFonts w:cs="Times New Roman"/>
          <w:sz w:val="28"/>
          <w:szCs w:val="28"/>
        </w:rPr>
        <w:t>以近10年社会经济指标为基数，以全国经济发展新常态、《包头市国民经济和社会发展第十四个五年规划和二〇三五年远景目标纲要》及其他相关规划为目标依据，紧密结合国土空间规划中“全国重要的新型材料产业基地、现代能源产业基地和全国有重要影响力的现代装备制造产业基地、农畜食品产业基地”的战略定位，综合相关部门以及重点区域、重点领域对中长期经济社会发展形势的分析和研判，综合协调优化，合理预测规划年全</w:t>
      </w:r>
      <w:r>
        <w:rPr>
          <w:rFonts w:hint="eastAsia" w:cs="Times New Roman"/>
          <w:sz w:val="28"/>
          <w:szCs w:val="28"/>
        </w:rPr>
        <w:t>区</w:t>
      </w:r>
      <w:r>
        <w:rPr>
          <w:rFonts w:cs="Times New Roman"/>
          <w:sz w:val="28"/>
          <w:szCs w:val="28"/>
        </w:rPr>
        <w:t>经济发展指标。</w:t>
      </w:r>
    </w:p>
    <w:p w14:paraId="546C2657">
      <w:pPr>
        <w:widowControl/>
        <w:adjustRightInd w:val="0"/>
        <w:ind w:firstLine="562" w:firstLineChars="200"/>
        <w:rPr>
          <w:rFonts w:hint="eastAsia" w:ascii="宋体" w:hAnsi="宋体" w:cs="宋体"/>
          <w:b/>
          <w:bCs/>
          <w:sz w:val="28"/>
          <w:szCs w:val="28"/>
        </w:rPr>
      </w:pPr>
      <w:r>
        <w:rPr>
          <w:rFonts w:hint="eastAsia" w:ascii="宋体" w:hAnsi="宋体" w:cs="宋体"/>
          <w:b/>
          <w:bCs/>
          <w:sz w:val="28"/>
          <w:szCs w:val="28"/>
        </w:rPr>
        <w:t>①</w:t>
      </w:r>
      <w:r>
        <w:rPr>
          <w:rFonts w:ascii="宋体" w:hAnsi="宋体" w:cs="宋体"/>
          <w:b/>
          <w:bCs/>
          <w:sz w:val="28"/>
          <w:szCs w:val="28"/>
        </w:rPr>
        <w:t>人口预测</w:t>
      </w:r>
    </w:p>
    <w:p w14:paraId="5172BFE5">
      <w:pPr>
        <w:widowControl/>
        <w:adjustRightInd w:val="0"/>
        <w:ind w:firstLine="560" w:firstLineChars="200"/>
        <w:rPr>
          <w:rFonts w:cs="Times New Roman"/>
          <w:sz w:val="28"/>
          <w:szCs w:val="28"/>
        </w:rPr>
      </w:pPr>
      <w:r>
        <w:rPr>
          <w:rFonts w:hint="eastAsia" w:cs="Times New Roman"/>
          <w:sz w:val="28"/>
          <w:szCs w:val="28"/>
        </w:rPr>
        <w:t>2023年九原区</w:t>
      </w:r>
      <w:r>
        <w:rPr>
          <w:rFonts w:cs="Times New Roman"/>
          <w:sz w:val="28"/>
          <w:szCs w:val="28"/>
        </w:rPr>
        <w:t>全</w:t>
      </w:r>
      <w:r>
        <w:rPr>
          <w:rFonts w:hint="eastAsia" w:cs="Times New Roman"/>
          <w:sz w:val="28"/>
          <w:szCs w:val="28"/>
        </w:rPr>
        <w:t>区</w:t>
      </w:r>
      <w:r>
        <w:rPr>
          <w:rFonts w:cs="Times New Roman"/>
          <w:sz w:val="28"/>
          <w:szCs w:val="28"/>
        </w:rPr>
        <w:t>常住人口</w:t>
      </w:r>
      <w:r>
        <w:rPr>
          <w:rFonts w:hint="eastAsia" w:cs="Times New Roman"/>
          <w:sz w:val="28"/>
          <w:szCs w:val="28"/>
        </w:rPr>
        <w:t>25.00</w:t>
      </w:r>
      <w:r>
        <w:rPr>
          <w:rFonts w:cs="Times New Roman"/>
          <w:sz w:val="28"/>
          <w:szCs w:val="28"/>
        </w:rPr>
        <w:t>万人，城镇化率</w:t>
      </w:r>
      <w:r>
        <w:rPr>
          <w:rFonts w:hint="eastAsia" w:cs="Times New Roman"/>
          <w:sz w:val="28"/>
          <w:szCs w:val="28"/>
        </w:rPr>
        <w:t>73.8</w:t>
      </w:r>
      <w:r>
        <w:rPr>
          <w:rFonts w:cs="Times New Roman"/>
          <w:sz w:val="28"/>
          <w:szCs w:val="28"/>
        </w:rPr>
        <w:t>%。结合</w:t>
      </w:r>
      <w:r>
        <w:rPr>
          <w:rFonts w:hint="eastAsia" w:cs="Times New Roman"/>
          <w:sz w:val="28"/>
          <w:szCs w:val="28"/>
        </w:rPr>
        <w:t>九原区</w:t>
      </w:r>
      <w:r>
        <w:rPr>
          <w:rFonts w:cs="Times New Roman"/>
          <w:sz w:val="28"/>
          <w:szCs w:val="28"/>
        </w:rPr>
        <w:t>近十年常住人口、城镇化率的变化情况，适度考虑</w:t>
      </w:r>
      <w:r>
        <w:rPr>
          <w:rFonts w:hint="eastAsia" w:cs="Times New Roman"/>
          <w:sz w:val="28"/>
          <w:szCs w:val="28"/>
        </w:rPr>
        <w:t>包头市</w:t>
      </w:r>
      <w:r>
        <w:rPr>
          <w:rFonts w:cs="Times New Roman"/>
          <w:sz w:val="28"/>
          <w:szCs w:val="28"/>
        </w:rPr>
        <w:t>人口政策的逐步放开，分析</w:t>
      </w:r>
      <w:r>
        <w:rPr>
          <w:rFonts w:hint="eastAsia" w:cs="Times New Roman"/>
          <w:sz w:val="28"/>
          <w:szCs w:val="28"/>
        </w:rPr>
        <w:t>九原区</w:t>
      </w:r>
      <w:r>
        <w:rPr>
          <w:rFonts w:cs="Times New Roman"/>
          <w:sz w:val="28"/>
          <w:szCs w:val="28"/>
        </w:rPr>
        <w:t>常住人口及城镇化率多年来整体呈上升趋势。本次规划总人口及城镇人口采用</w:t>
      </w:r>
      <w:r>
        <w:rPr>
          <w:rFonts w:hint="eastAsia" w:cs="Times New Roman"/>
          <w:sz w:val="28"/>
          <w:szCs w:val="28"/>
        </w:rPr>
        <w:t>包头市</w:t>
      </w:r>
      <w:r>
        <w:rPr>
          <w:rFonts w:cs="Times New Roman"/>
          <w:sz w:val="28"/>
          <w:szCs w:val="28"/>
        </w:rPr>
        <w:t>国土空间规划相关成果，结合近年来</w:t>
      </w:r>
      <w:r>
        <w:rPr>
          <w:rFonts w:hint="eastAsia" w:cs="Times New Roman"/>
          <w:sz w:val="28"/>
          <w:szCs w:val="28"/>
        </w:rPr>
        <w:t>九原区</w:t>
      </w:r>
      <w:r>
        <w:rPr>
          <w:rFonts w:cs="Times New Roman"/>
          <w:sz w:val="28"/>
          <w:szCs w:val="28"/>
        </w:rPr>
        <w:t>人口变化趋势，预测到2035年</w:t>
      </w:r>
      <w:r>
        <w:rPr>
          <w:rFonts w:hint="eastAsia" w:cs="Times New Roman"/>
          <w:sz w:val="28"/>
          <w:szCs w:val="28"/>
        </w:rPr>
        <w:t>九原区</w:t>
      </w:r>
      <w:r>
        <w:rPr>
          <w:rFonts w:cs="Times New Roman"/>
          <w:sz w:val="28"/>
          <w:szCs w:val="28"/>
        </w:rPr>
        <w:t>常住人口规模</w:t>
      </w:r>
      <w:r>
        <w:rPr>
          <w:rFonts w:hint="eastAsia" w:cs="Times New Roman"/>
          <w:sz w:val="28"/>
          <w:szCs w:val="28"/>
        </w:rPr>
        <w:t>27.82</w:t>
      </w:r>
      <w:r>
        <w:rPr>
          <w:rFonts w:cs="Times New Roman"/>
          <w:sz w:val="28"/>
          <w:szCs w:val="28"/>
        </w:rPr>
        <w:t>万人，常住人口城镇化率</w:t>
      </w:r>
      <w:r>
        <w:rPr>
          <w:rFonts w:hint="eastAsia" w:cs="Times New Roman"/>
          <w:sz w:val="28"/>
          <w:szCs w:val="28"/>
        </w:rPr>
        <w:t>80</w:t>
      </w:r>
      <w:r>
        <w:rPr>
          <w:rFonts w:cs="Times New Roman"/>
          <w:sz w:val="28"/>
          <w:szCs w:val="28"/>
        </w:rPr>
        <w:t>%。</w:t>
      </w:r>
    </w:p>
    <w:p w14:paraId="68FD84E7">
      <w:pPr>
        <w:widowControl/>
        <w:adjustRightInd w:val="0"/>
        <w:ind w:firstLine="562" w:firstLineChars="200"/>
        <w:rPr>
          <w:rFonts w:hint="eastAsia" w:ascii="宋体" w:hAnsi="宋体" w:cs="宋体"/>
          <w:b/>
          <w:bCs/>
          <w:sz w:val="28"/>
          <w:szCs w:val="28"/>
        </w:rPr>
      </w:pPr>
      <w:r>
        <w:rPr>
          <w:rFonts w:hint="eastAsia" w:ascii="宋体" w:hAnsi="宋体" w:cs="宋体"/>
          <w:b/>
          <w:bCs/>
          <w:sz w:val="28"/>
          <w:szCs w:val="28"/>
        </w:rPr>
        <w:t>②第二产业</w:t>
      </w:r>
      <w:r>
        <w:rPr>
          <w:rFonts w:ascii="宋体" w:hAnsi="宋体" w:cs="宋体"/>
          <w:b/>
          <w:bCs/>
          <w:sz w:val="28"/>
          <w:szCs w:val="28"/>
        </w:rPr>
        <w:t>预测</w:t>
      </w:r>
    </w:p>
    <w:p w14:paraId="4D6329B8">
      <w:pPr>
        <w:widowControl/>
        <w:adjustRightInd w:val="0"/>
        <w:ind w:left="562"/>
        <w:rPr>
          <w:rFonts w:ascii="Cambria Math" w:hAnsi="Cambria Math" w:cs="Cambria Math"/>
          <w:b/>
          <w:bCs/>
          <w:sz w:val="28"/>
          <w:szCs w:val="28"/>
        </w:rPr>
      </w:pPr>
      <w:r>
        <w:rPr>
          <w:rFonts w:hint="eastAsia" w:ascii="Cambria Math" w:hAnsi="Cambria Math" w:cs="Cambria Math"/>
          <w:b/>
          <w:bCs/>
          <w:sz w:val="28"/>
          <w:szCs w:val="28"/>
        </w:rPr>
        <w:t>工业增加值预测：</w:t>
      </w:r>
    </w:p>
    <w:p w14:paraId="6A6827AE">
      <w:pPr>
        <w:widowControl/>
        <w:adjustRightInd w:val="0"/>
        <w:ind w:firstLine="560" w:firstLineChars="200"/>
        <w:rPr>
          <w:rFonts w:cs="Times New Roman"/>
          <w:sz w:val="28"/>
          <w:szCs w:val="28"/>
        </w:rPr>
      </w:pPr>
      <w:r>
        <w:rPr>
          <w:rFonts w:cs="Times New Roman"/>
          <w:sz w:val="28"/>
          <w:szCs w:val="28"/>
        </w:rPr>
        <w:t>基于黄河流域生态保护和高质量发展对包头市的要求、</w:t>
      </w:r>
      <w:r>
        <w:rPr>
          <w:rFonts w:hint="eastAsia" w:cs="Times New Roman"/>
          <w:sz w:val="28"/>
          <w:szCs w:val="28"/>
        </w:rPr>
        <w:t>包头市</w:t>
      </w:r>
      <w:r>
        <w:rPr>
          <w:rFonts w:cs="Times New Roman"/>
          <w:sz w:val="28"/>
          <w:szCs w:val="28"/>
        </w:rPr>
        <w:t>“十四五”发展规划等指标</w:t>
      </w:r>
      <w:r>
        <w:rPr>
          <w:rFonts w:hint="eastAsia" w:cs="Times New Roman"/>
          <w:sz w:val="28"/>
          <w:szCs w:val="28"/>
        </w:rPr>
        <w:t>、九原区</w:t>
      </w:r>
      <w:r>
        <w:rPr>
          <w:rFonts w:cs="Times New Roman"/>
          <w:sz w:val="28"/>
          <w:szCs w:val="28"/>
        </w:rPr>
        <w:t>历年工业增加值变化情况、综合预估2035年工业增加值指标。根据</w:t>
      </w:r>
      <w:r>
        <w:rPr>
          <w:rFonts w:hint="eastAsia" w:cs="Times New Roman"/>
          <w:sz w:val="28"/>
          <w:szCs w:val="28"/>
        </w:rPr>
        <w:t>九原区</w:t>
      </w:r>
      <w:r>
        <w:rPr>
          <w:rFonts w:cs="Times New Roman"/>
          <w:sz w:val="28"/>
          <w:szCs w:val="28"/>
        </w:rPr>
        <w:t>历年统计年鉴，</w:t>
      </w:r>
      <w:r>
        <w:rPr>
          <w:rFonts w:hint="eastAsia" w:cs="Times New Roman"/>
          <w:sz w:val="28"/>
          <w:szCs w:val="28"/>
        </w:rPr>
        <w:t>九原区</w:t>
      </w:r>
      <w:r>
        <w:rPr>
          <w:rFonts w:cs="Times New Roman"/>
          <w:sz w:val="28"/>
          <w:szCs w:val="28"/>
        </w:rPr>
        <w:t>2011年到202</w:t>
      </w:r>
      <w:r>
        <w:rPr>
          <w:rFonts w:hint="eastAsia" w:cs="Times New Roman"/>
          <w:sz w:val="28"/>
          <w:szCs w:val="28"/>
        </w:rPr>
        <w:t>2</w:t>
      </w:r>
      <w:r>
        <w:rPr>
          <w:rFonts w:cs="Times New Roman"/>
          <w:sz w:val="28"/>
          <w:szCs w:val="28"/>
        </w:rPr>
        <w:t>年第二产业增加值增速</w:t>
      </w:r>
      <w:r>
        <w:rPr>
          <w:rFonts w:hint="eastAsia" w:cs="Times New Roman"/>
          <w:sz w:val="28"/>
          <w:szCs w:val="28"/>
        </w:rPr>
        <w:t>13.3</w:t>
      </w:r>
      <w:r>
        <w:rPr>
          <w:rFonts w:cs="Times New Roman"/>
          <w:sz w:val="28"/>
          <w:szCs w:val="28"/>
        </w:rPr>
        <w:t>%。近年来大量以硅材料企业为代表的工业企业相继落户投产，全市第二产业增加值快速增长，202</w:t>
      </w:r>
      <w:r>
        <w:rPr>
          <w:rFonts w:hint="eastAsia" w:cs="Times New Roman"/>
          <w:sz w:val="28"/>
          <w:szCs w:val="28"/>
        </w:rPr>
        <w:t>3</w:t>
      </w:r>
      <w:r>
        <w:rPr>
          <w:rFonts w:cs="Times New Roman"/>
          <w:sz w:val="28"/>
          <w:szCs w:val="28"/>
        </w:rPr>
        <w:t>年第二产业增加值为</w:t>
      </w:r>
      <w:r>
        <w:rPr>
          <w:rFonts w:hint="eastAsia" w:cs="Times New Roman"/>
          <w:sz w:val="28"/>
          <w:szCs w:val="28"/>
        </w:rPr>
        <w:t>156</w:t>
      </w:r>
      <w:r>
        <w:rPr>
          <w:rFonts w:cs="Times New Roman"/>
          <w:sz w:val="28"/>
          <w:szCs w:val="28"/>
        </w:rPr>
        <w:t>亿元，其中工业增加值为</w:t>
      </w:r>
      <w:r>
        <w:rPr>
          <w:rFonts w:hint="eastAsia" w:cs="Times New Roman"/>
          <w:sz w:val="28"/>
          <w:szCs w:val="28"/>
        </w:rPr>
        <w:t>112.46</w:t>
      </w:r>
      <w:r>
        <w:rPr>
          <w:rFonts w:cs="Times New Roman"/>
          <w:sz w:val="28"/>
          <w:szCs w:val="28"/>
        </w:rPr>
        <w:t>亿元。根据包头市及</w:t>
      </w:r>
      <w:r>
        <w:rPr>
          <w:rFonts w:hint="eastAsia" w:cs="Times New Roman"/>
          <w:sz w:val="28"/>
          <w:szCs w:val="28"/>
        </w:rPr>
        <w:t>九原区</w:t>
      </w:r>
      <w:r>
        <w:rPr>
          <w:rFonts w:cs="Times New Roman"/>
          <w:sz w:val="28"/>
          <w:szCs w:val="28"/>
        </w:rPr>
        <w:t>《国民经济和社会发展第十四个五年规划和二〇三五年远景目标纲要》，到2035年全市新型工业化、信息化、城镇化、农牧业现代化基本实现。以现状水平年为基础，结合近十年工业增加值的发展趋势及工业产业发展布局，预测2035年全</w:t>
      </w:r>
      <w:r>
        <w:rPr>
          <w:rFonts w:hint="eastAsia" w:cs="Times New Roman"/>
          <w:sz w:val="28"/>
          <w:szCs w:val="28"/>
        </w:rPr>
        <w:t>区</w:t>
      </w:r>
      <w:r>
        <w:rPr>
          <w:rFonts w:cs="Times New Roman"/>
          <w:sz w:val="28"/>
          <w:szCs w:val="28"/>
        </w:rPr>
        <w:t>工业增加值增速为</w:t>
      </w:r>
      <w:r>
        <w:rPr>
          <w:rFonts w:hint="eastAsia" w:cs="Times New Roman"/>
          <w:sz w:val="28"/>
          <w:szCs w:val="28"/>
        </w:rPr>
        <w:t>14.32</w:t>
      </w:r>
      <w:r>
        <w:rPr>
          <w:rFonts w:cs="Times New Roman"/>
          <w:sz w:val="28"/>
          <w:szCs w:val="28"/>
        </w:rPr>
        <w:t>%，预估2035年全</w:t>
      </w:r>
      <w:r>
        <w:rPr>
          <w:rFonts w:hint="eastAsia" w:cs="Times New Roman"/>
          <w:sz w:val="28"/>
          <w:szCs w:val="28"/>
        </w:rPr>
        <w:t>区</w:t>
      </w:r>
      <w:r>
        <w:rPr>
          <w:rFonts w:cs="Times New Roman"/>
          <w:sz w:val="28"/>
          <w:szCs w:val="28"/>
        </w:rPr>
        <w:t>工业增加值达到</w:t>
      </w:r>
      <w:r>
        <w:rPr>
          <w:rFonts w:hint="eastAsia" w:cs="Times New Roman"/>
          <w:sz w:val="28"/>
          <w:szCs w:val="28"/>
        </w:rPr>
        <w:t>157.46</w:t>
      </w:r>
      <w:r>
        <w:rPr>
          <w:rFonts w:cs="Times New Roman"/>
          <w:sz w:val="28"/>
          <w:szCs w:val="28"/>
        </w:rPr>
        <w:t>亿元。</w:t>
      </w:r>
    </w:p>
    <w:p w14:paraId="58A36550">
      <w:pPr>
        <w:widowControl/>
        <w:adjustRightInd w:val="0"/>
        <w:ind w:firstLine="562" w:firstLineChars="200"/>
        <w:rPr>
          <w:rFonts w:cs="Times New Roman"/>
          <w:b/>
          <w:bCs/>
          <w:sz w:val="28"/>
          <w:szCs w:val="28"/>
        </w:rPr>
      </w:pPr>
      <w:r>
        <w:rPr>
          <w:rFonts w:hint="eastAsia" w:cs="Times New Roman"/>
          <w:b/>
          <w:bCs/>
          <w:sz w:val="28"/>
          <w:szCs w:val="28"/>
        </w:rPr>
        <w:t>建筑业预测：</w:t>
      </w:r>
    </w:p>
    <w:p w14:paraId="2B244442">
      <w:pPr>
        <w:widowControl/>
        <w:adjustRightInd w:val="0"/>
        <w:ind w:firstLine="560" w:firstLineChars="200"/>
        <w:rPr>
          <w:rFonts w:cs="Times New Roman"/>
          <w:sz w:val="28"/>
          <w:szCs w:val="28"/>
        </w:rPr>
      </w:pPr>
      <w:r>
        <w:rPr>
          <w:rFonts w:hint="eastAsia" w:cs="Times New Roman"/>
          <w:sz w:val="28"/>
          <w:szCs w:val="28"/>
        </w:rPr>
        <w:t>九原区现状2023年建筑业万元增加值为6亿元，随着城市经济的发展，建筑业也随之增长。预测到2035年建筑业增加值为7.5亿元。</w:t>
      </w:r>
    </w:p>
    <w:p w14:paraId="280D8727">
      <w:pPr>
        <w:widowControl/>
        <w:adjustRightInd w:val="0"/>
        <w:ind w:firstLine="562" w:firstLineChars="200"/>
        <w:rPr>
          <w:rFonts w:hint="eastAsia" w:ascii="宋体" w:hAnsi="宋体" w:cs="宋体"/>
          <w:b/>
          <w:bCs/>
          <w:sz w:val="28"/>
          <w:szCs w:val="28"/>
        </w:rPr>
      </w:pPr>
      <w:r>
        <w:rPr>
          <w:rFonts w:hint="eastAsia" w:ascii="宋体" w:hAnsi="宋体" w:cs="宋体"/>
          <w:b/>
          <w:bCs/>
          <w:sz w:val="28"/>
          <w:szCs w:val="28"/>
        </w:rPr>
        <w:t>③</w:t>
      </w:r>
      <w:r>
        <w:rPr>
          <w:rFonts w:ascii="宋体" w:hAnsi="宋体" w:cs="宋体"/>
          <w:b/>
          <w:bCs/>
          <w:sz w:val="28"/>
          <w:szCs w:val="28"/>
        </w:rPr>
        <w:t>农业发展指标预测</w:t>
      </w:r>
    </w:p>
    <w:p w14:paraId="61917F3F">
      <w:pPr>
        <w:widowControl/>
        <w:adjustRightInd w:val="0"/>
        <w:ind w:firstLine="560" w:firstLineChars="200"/>
        <w:rPr>
          <w:rFonts w:cs="Times New Roman"/>
          <w:sz w:val="28"/>
          <w:szCs w:val="28"/>
        </w:rPr>
      </w:pPr>
      <w:r>
        <w:rPr>
          <w:rFonts w:hint="eastAsia" w:cs="Times New Roman"/>
          <w:sz w:val="28"/>
          <w:szCs w:val="28"/>
        </w:rPr>
        <w:t>九原区现有耕地有效灌溉面积32.86万亩，其中地表水灌溉面积10.01万亩，井渠混合灌溉面积22.85万亩，农业比重大。为保障粮食安全，须进一步大力发展农田灌溉事业提高农田灌溉保证率及灌溉用水效率。同时考虑到九原区水资源开发利用现状和水资源承载能力，规划至2035年，全区实际灌溉面积保持32.86万亩不变，农业灌溉水有效利用系数从现状年的</w:t>
      </w:r>
      <w:bookmarkStart w:id="92" w:name="OLE_LINK15"/>
      <w:r>
        <w:rPr>
          <w:rFonts w:hint="eastAsia" w:cs="Times New Roman"/>
          <w:sz w:val="28"/>
          <w:szCs w:val="28"/>
        </w:rPr>
        <w:t>0.6</w:t>
      </w:r>
      <w:bookmarkEnd w:id="92"/>
      <w:r>
        <w:rPr>
          <w:rFonts w:hint="eastAsia" w:cs="Times New Roman"/>
          <w:sz w:val="28"/>
          <w:szCs w:val="28"/>
        </w:rPr>
        <w:t>7提高到0.7。现状林果地灌溉面积1.5万亩，林地灌溉面积6万亩，结合灌面分布与水源情况，保证牧草高质量发展，规划2035年总林果地灌溉面积、牧草地灌溉面积维持不变。结合草畜平衡综合确定，规划年2035年牲畜数量较现状年略有增加，达到52.07万头（只）。</w:t>
      </w:r>
    </w:p>
    <w:p w14:paraId="042B6DE5">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④</w:t>
      </w:r>
      <w:r>
        <w:rPr>
          <w:rFonts w:ascii="Cambria Math" w:hAnsi="Cambria Math" w:cs="Cambria Math"/>
          <w:b/>
          <w:bCs/>
          <w:sz w:val="28"/>
          <w:szCs w:val="28"/>
        </w:rPr>
        <w:t>生态环境指标发展预测</w:t>
      </w:r>
    </w:p>
    <w:p w14:paraId="3B4AC738">
      <w:pPr>
        <w:widowControl/>
        <w:adjustRightInd w:val="0"/>
        <w:ind w:firstLine="560" w:firstLineChars="200"/>
        <w:rPr>
          <w:rFonts w:cs="Times New Roman"/>
          <w:sz w:val="28"/>
          <w:szCs w:val="28"/>
        </w:rPr>
      </w:pPr>
      <w:r>
        <w:rPr>
          <w:rFonts w:hint="eastAsia" w:cs="Times New Roman"/>
          <w:sz w:val="28"/>
          <w:szCs w:val="28"/>
        </w:rPr>
        <w:t>根据《内蒙古自治区行业用水定额标准》（DB15/T385-2020）7840条规定，含道路绿化带的绿化用水先进定额为1L/m</w:t>
      </w:r>
      <w:r>
        <w:rPr>
          <w:rFonts w:hint="eastAsia" w:cs="Times New Roman"/>
          <w:sz w:val="28"/>
          <w:szCs w:val="28"/>
          <w:vertAlign w:val="superscript"/>
        </w:rPr>
        <w:t>2</w:t>
      </w:r>
      <w:r>
        <w:rPr>
          <w:rFonts w:hint="eastAsia" w:cs="Times New Roman"/>
          <w:sz w:val="28"/>
          <w:szCs w:val="28"/>
        </w:rPr>
        <w:t>.d，场地、道路喷洒水先进定额为0.9L/m</w:t>
      </w:r>
      <w:r>
        <w:rPr>
          <w:rFonts w:hint="eastAsia" w:cs="Times New Roman"/>
          <w:sz w:val="28"/>
          <w:szCs w:val="28"/>
          <w:vertAlign w:val="superscript"/>
        </w:rPr>
        <w:t>2</w:t>
      </w:r>
      <w:r>
        <w:rPr>
          <w:rFonts w:hint="eastAsia" w:cs="Times New Roman"/>
          <w:sz w:val="28"/>
          <w:szCs w:val="28"/>
        </w:rPr>
        <w:t>.d。九原区为了降低园林绿化成本，一方面在改造基础设施上下大功夫，另一方面加大本土树种的培育，80%的绿化花木属于耐寒耐贫瘠抗旱型。而对一些观赏性强的花木，经过科学驯化后引进，再在不同地段试种，符合低成本的养护条件后再大面积种植。所以，本次规划采用《内蒙古自治区行业用水定额标准》（DB15/T385-2020）道路绿化带的绿化用水和场地、道路喷洒用水先进定额，分别为1L/m</w:t>
      </w:r>
      <w:r>
        <w:rPr>
          <w:rFonts w:hint="eastAsia" w:cs="Times New Roman"/>
          <w:sz w:val="28"/>
          <w:szCs w:val="28"/>
          <w:vertAlign w:val="superscript"/>
        </w:rPr>
        <w:t>2</w:t>
      </w:r>
      <w:r>
        <w:rPr>
          <w:rFonts w:hint="eastAsia" w:cs="Times New Roman"/>
          <w:sz w:val="28"/>
          <w:szCs w:val="28"/>
        </w:rPr>
        <w:t>.d和0.9L/m</w:t>
      </w:r>
      <w:r>
        <w:rPr>
          <w:rFonts w:hint="eastAsia" w:cs="Times New Roman"/>
          <w:sz w:val="28"/>
          <w:szCs w:val="28"/>
          <w:vertAlign w:val="superscript"/>
        </w:rPr>
        <w:t>2</w:t>
      </w:r>
      <w:r>
        <w:rPr>
          <w:rFonts w:hint="eastAsia" w:cs="Times New Roman"/>
          <w:sz w:val="28"/>
          <w:szCs w:val="28"/>
        </w:rPr>
        <w:t>.d。考虑九原区用水天数为150天，2035年九原区绿化面积为950万m</w:t>
      </w:r>
      <w:r>
        <w:rPr>
          <w:rFonts w:hint="eastAsia" w:cs="Times New Roman"/>
          <w:sz w:val="28"/>
          <w:szCs w:val="28"/>
          <w:vertAlign w:val="superscript"/>
        </w:rPr>
        <w:t>2</w:t>
      </w:r>
      <w:r>
        <w:rPr>
          <w:rFonts w:hint="eastAsia" w:cs="Times New Roman"/>
          <w:sz w:val="28"/>
          <w:szCs w:val="28"/>
        </w:rPr>
        <w:t>。</w:t>
      </w:r>
    </w:p>
    <w:p w14:paraId="50EDAD7D">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⑤第三产业指标</w:t>
      </w:r>
      <w:r>
        <w:rPr>
          <w:rFonts w:ascii="Cambria Math" w:hAnsi="Cambria Math" w:cs="Cambria Math"/>
          <w:b/>
          <w:bCs/>
          <w:sz w:val="28"/>
          <w:szCs w:val="28"/>
        </w:rPr>
        <w:t>发展预测</w:t>
      </w:r>
    </w:p>
    <w:p w14:paraId="69A56B20">
      <w:pPr>
        <w:widowControl/>
        <w:adjustRightInd w:val="0"/>
        <w:ind w:firstLine="560" w:firstLineChars="200"/>
        <w:rPr>
          <w:rFonts w:cs="Times New Roman"/>
        </w:rPr>
      </w:pPr>
      <w:r>
        <w:rPr>
          <w:rFonts w:hint="eastAsia" w:cs="Times New Roman"/>
          <w:sz w:val="28"/>
          <w:szCs w:val="28"/>
        </w:rPr>
        <w:t>九原区立足当地自然禀赋条件，现状年第三产业增加值为161.02亿元。经预测，至规划年2035年第三产业增加值为205亿元。</w:t>
      </w:r>
    </w:p>
    <w:p w14:paraId="0DBBBE85">
      <w:pPr>
        <w:widowControl/>
        <w:adjustRightInd w:val="0"/>
        <w:ind w:firstLine="562" w:firstLineChars="200"/>
        <w:rPr>
          <w:rFonts w:hint="eastAsia" w:ascii="宋体" w:hAnsi="宋体" w:cs="宋体"/>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2 \* GB2 </w:instrText>
      </w:r>
      <w:r>
        <w:rPr>
          <w:rFonts w:hint="eastAsia" w:ascii="宋体" w:hAnsi="宋体" w:cs="宋体"/>
          <w:b/>
          <w:bCs/>
          <w:sz w:val="28"/>
          <w:szCs w:val="28"/>
        </w:rPr>
        <w:fldChar w:fldCharType="separate"/>
      </w:r>
      <w:r>
        <w:rPr>
          <w:rFonts w:hint="eastAsia" w:ascii="宋体" w:hAnsi="宋体" w:cs="宋体"/>
          <w:b/>
          <w:bCs/>
          <w:sz w:val="28"/>
          <w:szCs w:val="28"/>
        </w:rPr>
        <w:t>⑵</w:t>
      </w:r>
      <w:r>
        <w:rPr>
          <w:rFonts w:hint="eastAsia" w:ascii="宋体" w:hAnsi="宋体" w:cs="宋体"/>
          <w:b/>
          <w:bCs/>
          <w:sz w:val="28"/>
          <w:szCs w:val="28"/>
        </w:rPr>
        <w:fldChar w:fldCharType="end"/>
      </w:r>
      <w:r>
        <w:rPr>
          <w:rFonts w:ascii="宋体" w:hAnsi="宋体" w:cs="宋体"/>
          <w:b/>
          <w:bCs/>
          <w:sz w:val="28"/>
          <w:szCs w:val="28"/>
        </w:rPr>
        <w:t>用水定额分析</w:t>
      </w:r>
    </w:p>
    <w:p w14:paraId="14A011D0">
      <w:pPr>
        <w:widowControl/>
        <w:adjustRightInd w:val="0"/>
        <w:ind w:firstLine="560" w:firstLineChars="200"/>
        <w:rPr>
          <w:rFonts w:cs="Times New Roman"/>
          <w:sz w:val="28"/>
          <w:szCs w:val="28"/>
        </w:rPr>
      </w:pPr>
      <w:r>
        <w:rPr>
          <w:rFonts w:cs="Times New Roman"/>
          <w:sz w:val="28"/>
          <w:szCs w:val="28"/>
        </w:rPr>
        <w:t>按照“三先三后”、科学合理、因地制宜、可操作性、可行性原则，全面贯彻落实深度节水控水方针，充分衔接</w:t>
      </w:r>
      <w:r>
        <w:rPr>
          <w:rFonts w:hint="eastAsia" w:cs="Times New Roman"/>
          <w:sz w:val="28"/>
          <w:szCs w:val="28"/>
        </w:rPr>
        <w:t>包头市</w:t>
      </w:r>
      <w:r>
        <w:rPr>
          <w:rFonts w:cs="Times New Roman"/>
          <w:sz w:val="28"/>
          <w:szCs w:val="28"/>
        </w:rPr>
        <w:t>水网规划等上位规划，依据国家和省区发布用水定额，参照同类地区先进用水平，综合考虑水资源禀赋条件、经济社会发展水平、用水习惯及科技进步等因素，科学制定规划水平年用水定额。</w:t>
      </w:r>
    </w:p>
    <w:p w14:paraId="194F9B52">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①</w:t>
      </w:r>
      <w:r>
        <w:rPr>
          <w:rFonts w:ascii="Cambria Math" w:hAnsi="Cambria Math" w:cs="Cambria Math"/>
          <w:b/>
          <w:bCs/>
          <w:sz w:val="28"/>
          <w:szCs w:val="28"/>
        </w:rPr>
        <w:t>生活定额分析</w:t>
      </w:r>
    </w:p>
    <w:p w14:paraId="78549784">
      <w:pPr>
        <w:widowControl/>
        <w:adjustRightInd w:val="0"/>
        <w:ind w:firstLine="560" w:firstLineChars="200"/>
        <w:rPr>
          <w:rFonts w:cs="Times New Roman"/>
          <w:sz w:val="28"/>
          <w:szCs w:val="28"/>
        </w:rPr>
      </w:pPr>
      <w:r>
        <w:rPr>
          <w:rFonts w:hint="eastAsia" w:cs="Times New Roman"/>
          <w:sz w:val="28"/>
          <w:szCs w:val="28"/>
        </w:rPr>
        <w:t>九原区居民生活需水量包括城镇居民和农村牧区居民生活两部分。</w:t>
      </w:r>
      <w:r>
        <w:rPr>
          <w:rFonts w:cs="Times New Roman"/>
          <w:sz w:val="28"/>
          <w:szCs w:val="28"/>
        </w:rPr>
        <w:t>基准年居民生活需水定额由202</w:t>
      </w:r>
      <w:r>
        <w:rPr>
          <w:rFonts w:hint="eastAsia" w:cs="Times New Roman"/>
          <w:sz w:val="28"/>
          <w:szCs w:val="28"/>
        </w:rPr>
        <w:t>3</w:t>
      </w:r>
      <w:r>
        <w:rPr>
          <w:rFonts w:cs="Times New Roman"/>
          <w:sz w:val="28"/>
          <w:szCs w:val="28"/>
        </w:rPr>
        <w:t>年的生活用水水平</w:t>
      </w:r>
      <w:r>
        <w:rPr>
          <w:rFonts w:hint="eastAsia" w:cs="Times New Roman"/>
          <w:sz w:val="28"/>
          <w:szCs w:val="28"/>
        </w:rPr>
        <w:t>、《室外给水设计标准》（GB50013-2018）</w:t>
      </w:r>
      <w:r>
        <w:rPr>
          <w:rFonts w:cs="Times New Roman"/>
          <w:sz w:val="28"/>
          <w:szCs w:val="28"/>
        </w:rPr>
        <w:t>以及《内蒙古自治区行业用水定额》（DB15/T385-2020）</w:t>
      </w:r>
      <w:r>
        <w:rPr>
          <w:rFonts w:hint="eastAsia" w:cs="Times New Roman"/>
          <w:sz w:val="28"/>
          <w:szCs w:val="28"/>
        </w:rPr>
        <w:t>，考虑公共供水管网漏损率等综合拟定、</w:t>
      </w:r>
      <w:r>
        <w:rPr>
          <w:rFonts w:cs="Times New Roman"/>
          <w:sz w:val="28"/>
          <w:szCs w:val="28"/>
        </w:rPr>
        <w:t>确定。</w:t>
      </w:r>
      <w:r>
        <w:rPr>
          <w:rFonts w:hint="eastAsia" w:cs="Times New Roman"/>
          <w:sz w:val="28"/>
          <w:szCs w:val="28"/>
        </w:rPr>
        <w:t>城镇居民用水定额为75-90L/人·d，农村人口用水定额为50-70L/人·d。预测至规划年2035年城镇居民生活需水量为649.88万m</w:t>
      </w:r>
      <w:r>
        <w:rPr>
          <w:rFonts w:hint="eastAsia" w:cs="Times New Roman"/>
          <w:sz w:val="28"/>
          <w:szCs w:val="28"/>
          <w:vertAlign w:val="superscript"/>
        </w:rPr>
        <w:t>3</w:t>
      </w:r>
      <w:r>
        <w:rPr>
          <w:rFonts w:hint="eastAsia" w:cs="Times New Roman"/>
          <w:sz w:val="28"/>
          <w:szCs w:val="28"/>
        </w:rPr>
        <w:t>，农村居民生活需水量为121.85万m</w:t>
      </w:r>
      <w:r>
        <w:rPr>
          <w:rFonts w:hint="eastAsia" w:cs="Times New Roman"/>
          <w:sz w:val="28"/>
          <w:szCs w:val="28"/>
          <w:vertAlign w:val="superscript"/>
        </w:rPr>
        <w:t>3</w:t>
      </w:r>
      <w:r>
        <w:rPr>
          <w:rFonts w:hint="eastAsia" w:cs="Times New Roman"/>
          <w:sz w:val="28"/>
          <w:szCs w:val="28"/>
        </w:rPr>
        <w:t>，居民生活总需水量为771.73万m</w:t>
      </w:r>
      <w:r>
        <w:rPr>
          <w:rFonts w:cs="Times New Roman"/>
          <w:sz w:val="28"/>
          <w:szCs w:val="28"/>
        </w:rPr>
        <w:t>³</w:t>
      </w:r>
      <w:r>
        <w:rPr>
          <w:rFonts w:hint="eastAsia" w:cs="Times New Roman"/>
          <w:sz w:val="28"/>
          <w:szCs w:val="28"/>
        </w:rPr>
        <w:t>。</w:t>
      </w:r>
    </w:p>
    <w:p w14:paraId="3A73FDEE">
      <w:pPr>
        <w:widowControl/>
        <w:adjustRightInd w:val="0"/>
        <w:ind w:firstLine="560" w:firstLineChars="200"/>
        <w:rPr>
          <w:rFonts w:cs="Times New Roman"/>
          <w:sz w:val="28"/>
          <w:szCs w:val="28"/>
        </w:rPr>
      </w:pPr>
      <w:r>
        <w:rPr>
          <w:rFonts w:cs="Times New Roman"/>
          <w:sz w:val="28"/>
          <w:szCs w:val="28"/>
        </w:rPr>
        <w:t>预测到2035年，城镇综合生活用水定额、农村居民生活用水定额分别达到</w:t>
      </w:r>
      <w:r>
        <w:rPr>
          <w:rFonts w:hint="eastAsia" w:cs="Times New Roman"/>
          <w:sz w:val="28"/>
          <w:szCs w:val="28"/>
        </w:rPr>
        <w:t>80</w:t>
      </w:r>
      <w:r>
        <w:rPr>
          <w:rFonts w:cs="Times New Roman"/>
          <w:sz w:val="28"/>
          <w:szCs w:val="28"/>
        </w:rPr>
        <w:t>L、</w:t>
      </w:r>
      <w:r>
        <w:rPr>
          <w:rFonts w:hint="eastAsia" w:cs="Times New Roman"/>
          <w:sz w:val="28"/>
          <w:szCs w:val="28"/>
        </w:rPr>
        <w:t>60</w:t>
      </w:r>
      <w:r>
        <w:rPr>
          <w:rFonts w:cs="Times New Roman"/>
          <w:sz w:val="28"/>
          <w:szCs w:val="28"/>
        </w:rPr>
        <w:t>L，较基准年分别增加</w:t>
      </w:r>
      <w:r>
        <w:rPr>
          <w:rFonts w:hint="eastAsia" w:cs="Times New Roman"/>
          <w:sz w:val="28"/>
          <w:szCs w:val="28"/>
        </w:rPr>
        <w:t>20</w:t>
      </w:r>
      <w:r>
        <w:rPr>
          <w:rFonts w:cs="Times New Roman"/>
          <w:sz w:val="28"/>
          <w:szCs w:val="28"/>
        </w:rPr>
        <w:t>%、16.</w:t>
      </w:r>
      <w:r>
        <w:rPr>
          <w:rFonts w:hint="eastAsia" w:cs="Times New Roman"/>
          <w:sz w:val="28"/>
          <w:szCs w:val="28"/>
        </w:rPr>
        <w:t>5</w:t>
      </w:r>
      <w:r>
        <w:rPr>
          <w:rFonts w:cs="Times New Roman"/>
          <w:sz w:val="28"/>
          <w:szCs w:val="28"/>
        </w:rPr>
        <w:t>%，用水定额均符合现行规范要求及城乡均衡发展的需求。</w:t>
      </w:r>
    </w:p>
    <w:p w14:paraId="3115DEA7">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②</w:t>
      </w:r>
      <w:r>
        <w:rPr>
          <w:rFonts w:ascii="Cambria Math" w:hAnsi="Cambria Math" w:cs="Cambria Math"/>
          <w:b/>
          <w:bCs/>
          <w:sz w:val="28"/>
          <w:szCs w:val="28"/>
        </w:rPr>
        <w:t>工业用水定额分析</w:t>
      </w:r>
    </w:p>
    <w:p w14:paraId="127E456E">
      <w:pPr>
        <w:widowControl/>
        <w:adjustRightInd w:val="0"/>
        <w:ind w:firstLine="562" w:firstLineChars="200"/>
        <w:rPr>
          <w:rFonts w:cs="Times New Roman"/>
          <w:sz w:val="28"/>
          <w:szCs w:val="28"/>
        </w:rPr>
      </w:pPr>
      <w:r>
        <w:rPr>
          <w:rFonts w:hint="eastAsia" w:cs="Times New Roman"/>
          <w:b/>
          <w:bCs/>
          <w:sz w:val="28"/>
          <w:szCs w:val="28"/>
        </w:rPr>
        <w:t>工业：</w:t>
      </w:r>
      <w:r>
        <w:rPr>
          <w:rFonts w:cs="Times New Roman"/>
          <w:sz w:val="28"/>
          <w:szCs w:val="28"/>
        </w:rPr>
        <w:t>根据</w:t>
      </w:r>
      <w:r>
        <w:rPr>
          <w:rFonts w:hint="eastAsia" w:cs="Times New Roman"/>
          <w:sz w:val="28"/>
          <w:szCs w:val="28"/>
        </w:rPr>
        <w:t>包头市</w:t>
      </w:r>
      <w:r>
        <w:rPr>
          <w:rFonts w:cs="Times New Roman"/>
          <w:sz w:val="28"/>
          <w:szCs w:val="28"/>
        </w:rPr>
        <w:t>水网规划要求，到2035年，全区工业用水重复利用率进一步提高，预测2035年全</w:t>
      </w:r>
      <w:r>
        <w:rPr>
          <w:rFonts w:hint="eastAsia" w:cs="Times New Roman"/>
          <w:sz w:val="28"/>
          <w:szCs w:val="28"/>
        </w:rPr>
        <w:t>区</w:t>
      </w:r>
      <w:r>
        <w:rPr>
          <w:rFonts w:cs="Times New Roman"/>
          <w:sz w:val="28"/>
          <w:szCs w:val="28"/>
        </w:rPr>
        <w:t>工业增加值增速为</w:t>
      </w:r>
      <w:r>
        <w:rPr>
          <w:rFonts w:hint="eastAsia" w:cs="Times New Roman"/>
          <w:sz w:val="28"/>
          <w:szCs w:val="28"/>
        </w:rPr>
        <w:t>14.32</w:t>
      </w:r>
      <w:r>
        <w:rPr>
          <w:rFonts w:cs="Times New Roman"/>
          <w:sz w:val="28"/>
          <w:szCs w:val="28"/>
        </w:rPr>
        <w:t>%，预估2035年全</w:t>
      </w:r>
      <w:r>
        <w:rPr>
          <w:rFonts w:hint="eastAsia" w:cs="Times New Roman"/>
          <w:sz w:val="28"/>
          <w:szCs w:val="28"/>
        </w:rPr>
        <w:t>区</w:t>
      </w:r>
      <w:r>
        <w:rPr>
          <w:rFonts w:cs="Times New Roman"/>
          <w:sz w:val="28"/>
          <w:szCs w:val="28"/>
        </w:rPr>
        <w:t>工业增加值达到</w:t>
      </w:r>
      <w:r>
        <w:rPr>
          <w:rFonts w:hint="eastAsia" w:cs="Times New Roman"/>
          <w:sz w:val="28"/>
          <w:szCs w:val="28"/>
        </w:rPr>
        <w:t>157.46</w:t>
      </w:r>
      <w:r>
        <w:rPr>
          <w:rFonts w:cs="Times New Roman"/>
          <w:sz w:val="28"/>
          <w:szCs w:val="28"/>
        </w:rPr>
        <w:t>亿元。万元工业增加值用水量较202</w:t>
      </w:r>
      <w:r>
        <w:rPr>
          <w:rFonts w:hint="eastAsia" w:cs="Times New Roman"/>
          <w:sz w:val="28"/>
          <w:szCs w:val="28"/>
        </w:rPr>
        <w:t>3</w:t>
      </w:r>
      <w:r>
        <w:rPr>
          <w:rFonts w:cs="Times New Roman"/>
          <w:sz w:val="28"/>
          <w:szCs w:val="28"/>
        </w:rPr>
        <w:t>年下降</w:t>
      </w:r>
      <w:r>
        <w:rPr>
          <w:rFonts w:hint="eastAsia" w:cs="Times New Roman"/>
          <w:sz w:val="28"/>
          <w:szCs w:val="28"/>
        </w:rPr>
        <w:t>18</w:t>
      </w:r>
      <w:r>
        <w:rPr>
          <w:rFonts w:cs="Times New Roman"/>
          <w:sz w:val="28"/>
          <w:szCs w:val="28"/>
        </w:rPr>
        <w:t>%，年均下降1.</w:t>
      </w:r>
      <w:r>
        <w:rPr>
          <w:rFonts w:hint="eastAsia" w:cs="Times New Roman"/>
          <w:sz w:val="28"/>
          <w:szCs w:val="28"/>
        </w:rPr>
        <w:t>2</w:t>
      </w:r>
      <w:r>
        <w:rPr>
          <w:rFonts w:cs="Times New Roman"/>
          <w:sz w:val="28"/>
          <w:szCs w:val="28"/>
        </w:rPr>
        <w:t>%。本次规划确定2035年万元工业增加值用水量为</w:t>
      </w:r>
      <w:r>
        <w:rPr>
          <w:rFonts w:hint="eastAsia" w:cs="Times New Roman"/>
          <w:sz w:val="28"/>
          <w:szCs w:val="28"/>
        </w:rPr>
        <w:t>10.81</w:t>
      </w:r>
      <w:r>
        <w:rPr>
          <w:rFonts w:cs="Times New Roman"/>
          <w:sz w:val="28"/>
          <w:szCs w:val="28"/>
        </w:rPr>
        <w:t>m</w:t>
      </w:r>
      <w:r>
        <w:rPr>
          <w:rFonts w:cs="Times New Roman"/>
          <w:sz w:val="28"/>
          <w:szCs w:val="28"/>
          <w:vertAlign w:val="superscript"/>
        </w:rPr>
        <w:t>3</w:t>
      </w:r>
      <w:r>
        <w:rPr>
          <w:rFonts w:cs="Times New Roman"/>
          <w:sz w:val="28"/>
          <w:szCs w:val="28"/>
        </w:rPr>
        <w:t>，较202</w:t>
      </w:r>
      <w:r>
        <w:rPr>
          <w:rFonts w:hint="eastAsia" w:cs="Times New Roman"/>
          <w:sz w:val="28"/>
          <w:szCs w:val="28"/>
        </w:rPr>
        <w:t>3</w:t>
      </w:r>
      <w:r>
        <w:rPr>
          <w:rFonts w:cs="Times New Roman"/>
          <w:sz w:val="28"/>
          <w:szCs w:val="28"/>
        </w:rPr>
        <w:t>年下降</w:t>
      </w:r>
      <w:r>
        <w:rPr>
          <w:rFonts w:hint="eastAsia" w:cs="Times New Roman"/>
          <w:sz w:val="28"/>
          <w:szCs w:val="28"/>
        </w:rPr>
        <w:t>14</w:t>
      </w:r>
      <w:r>
        <w:rPr>
          <w:rFonts w:cs="Times New Roman"/>
          <w:sz w:val="28"/>
          <w:szCs w:val="28"/>
        </w:rPr>
        <w:t>%，满足包头市万元工业增加值控制指标。</w:t>
      </w:r>
    </w:p>
    <w:p w14:paraId="24BD5C79">
      <w:pPr>
        <w:widowControl/>
        <w:adjustRightInd w:val="0"/>
        <w:ind w:firstLine="562" w:firstLineChars="200"/>
        <w:rPr>
          <w:rFonts w:cs="Times New Roman"/>
          <w:sz w:val="28"/>
          <w:szCs w:val="28"/>
        </w:rPr>
      </w:pPr>
      <w:r>
        <w:rPr>
          <w:rFonts w:hint="eastAsia" w:cs="Times New Roman"/>
          <w:b/>
          <w:bCs/>
          <w:sz w:val="28"/>
          <w:szCs w:val="28"/>
        </w:rPr>
        <w:t>建筑业：</w:t>
      </w:r>
      <w:r>
        <w:rPr>
          <w:rFonts w:hint="eastAsia" w:cs="Times New Roman"/>
          <w:sz w:val="28"/>
          <w:szCs w:val="28"/>
        </w:rPr>
        <w:t>九原区现状2023年建筑业万元增加值用水量为0.55m</w:t>
      </w:r>
      <w:r>
        <w:rPr>
          <w:rFonts w:hint="eastAsia" w:cs="Times New Roman"/>
          <w:sz w:val="28"/>
          <w:szCs w:val="28"/>
          <w:vertAlign w:val="superscript"/>
        </w:rPr>
        <w:t>3</w:t>
      </w:r>
      <w:r>
        <w:rPr>
          <w:rFonts w:hint="eastAsia" w:cs="Times New Roman"/>
          <w:sz w:val="28"/>
          <w:szCs w:val="28"/>
        </w:rPr>
        <w:t>/万元，全市建筑业万元增加值用水量为0.33m</w:t>
      </w:r>
      <w:r>
        <w:rPr>
          <w:rFonts w:hint="eastAsia" w:cs="Times New Roman"/>
          <w:sz w:val="28"/>
          <w:szCs w:val="28"/>
          <w:vertAlign w:val="superscript"/>
        </w:rPr>
        <w:t>3</w:t>
      </w:r>
      <w:r>
        <w:rPr>
          <w:rFonts w:hint="eastAsia" w:cs="Times New Roman"/>
          <w:sz w:val="28"/>
          <w:szCs w:val="28"/>
        </w:rPr>
        <w:t>/万元，现状年九原区建筑业万元增加值用水水平低于全市平均水平，考虑到现状年统计口径差异，结合《内蒙古自治区行业用水定额标准》（DB15/T385-2020），综合考虑几方面因素，拟定九原区规划年2035年建筑业用水指标为0.50m</w:t>
      </w:r>
      <w:r>
        <w:rPr>
          <w:rFonts w:hint="eastAsia" w:cs="Times New Roman"/>
          <w:sz w:val="28"/>
          <w:szCs w:val="28"/>
          <w:vertAlign w:val="superscript"/>
        </w:rPr>
        <w:t>3</w:t>
      </w:r>
      <w:r>
        <w:rPr>
          <w:rFonts w:hint="eastAsia" w:cs="Times New Roman"/>
          <w:sz w:val="28"/>
          <w:szCs w:val="28"/>
        </w:rPr>
        <w:t>/万元。</w:t>
      </w:r>
    </w:p>
    <w:p w14:paraId="7D20D9BC">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③</w:t>
      </w:r>
      <w:r>
        <w:rPr>
          <w:rFonts w:ascii="Cambria Math" w:hAnsi="Cambria Math" w:cs="Cambria Math"/>
          <w:b/>
          <w:bCs/>
          <w:sz w:val="28"/>
          <w:szCs w:val="28"/>
        </w:rPr>
        <w:t>农业用水定额分析</w:t>
      </w:r>
    </w:p>
    <w:p w14:paraId="761AD8C5">
      <w:pPr>
        <w:widowControl/>
        <w:adjustRightInd w:val="0"/>
        <w:ind w:firstLine="560" w:firstLineChars="200"/>
        <w:rPr>
          <w:rFonts w:cs="Times New Roman"/>
          <w:color w:val="FF0000"/>
          <w:sz w:val="28"/>
          <w:szCs w:val="28"/>
        </w:rPr>
      </w:pPr>
      <w:r>
        <w:rPr>
          <w:rFonts w:cs="Times New Roman"/>
          <w:sz w:val="28"/>
          <w:szCs w:val="28"/>
        </w:rPr>
        <w:t>考虑随着农田高效节水措施以及节水增粮等工程的不断实施，2035年全</w:t>
      </w:r>
      <w:r>
        <w:rPr>
          <w:rFonts w:hint="eastAsia" w:cs="Times New Roman"/>
          <w:sz w:val="28"/>
          <w:szCs w:val="28"/>
        </w:rPr>
        <w:t>区</w:t>
      </w:r>
      <w:r>
        <w:rPr>
          <w:rFonts w:cs="Times New Roman"/>
          <w:sz w:val="28"/>
          <w:szCs w:val="28"/>
        </w:rPr>
        <w:t>农田节水灌溉面积占比达到100%，耕地亩均灌溉用水量降低到</w:t>
      </w:r>
      <w:r>
        <w:rPr>
          <w:rFonts w:hint="eastAsia" w:cs="Times New Roman"/>
          <w:sz w:val="28"/>
          <w:szCs w:val="28"/>
        </w:rPr>
        <w:t>185.48</w:t>
      </w:r>
      <w:r>
        <w:rPr>
          <w:rFonts w:cs="Times New Roman"/>
          <w:sz w:val="28"/>
          <w:szCs w:val="28"/>
        </w:rPr>
        <w:t>m</w:t>
      </w:r>
      <w:r>
        <w:rPr>
          <w:rFonts w:cs="Times New Roman"/>
          <w:sz w:val="28"/>
          <w:szCs w:val="28"/>
          <w:vertAlign w:val="superscript"/>
        </w:rPr>
        <w:t>3</w:t>
      </w:r>
      <w:r>
        <w:rPr>
          <w:rFonts w:cs="Times New Roman"/>
          <w:sz w:val="28"/>
          <w:szCs w:val="28"/>
        </w:rPr>
        <w:t>，较基准年下降</w:t>
      </w:r>
      <w:r>
        <w:rPr>
          <w:rFonts w:hint="eastAsia" w:cs="Times New Roman"/>
          <w:sz w:val="28"/>
          <w:szCs w:val="28"/>
        </w:rPr>
        <w:t>4.5</w:t>
      </w:r>
      <w:r>
        <w:rPr>
          <w:rFonts w:cs="Times New Roman"/>
          <w:sz w:val="28"/>
          <w:szCs w:val="28"/>
        </w:rPr>
        <w:t>%，农田灌溉水有效利用系数达</w:t>
      </w:r>
      <w:r>
        <w:rPr>
          <w:rFonts w:cs="Times New Roman"/>
          <w:color w:val="000000" w:themeColor="text1"/>
          <w:sz w:val="28"/>
          <w:szCs w:val="28"/>
          <w14:textFill>
            <w14:solidFill>
              <w14:schemeClr w14:val="tx1"/>
            </w14:solidFill>
          </w14:textFill>
        </w:rPr>
        <w:t>到0.</w:t>
      </w:r>
      <w:r>
        <w:rPr>
          <w:rFonts w:hint="eastAsia" w:cs="Times New Roman"/>
          <w:color w:val="000000" w:themeColor="text1"/>
          <w:sz w:val="28"/>
          <w:szCs w:val="28"/>
          <w14:textFill>
            <w14:solidFill>
              <w14:schemeClr w14:val="tx1"/>
            </w14:solidFill>
          </w14:textFill>
        </w:rPr>
        <w:t>7</w:t>
      </w:r>
      <w:r>
        <w:rPr>
          <w:rFonts w:cs="Times New Roman"/>
          <w:color w:val="000000" w:themeColor="text1"/>
          <w:sz w:val="28"/>
          <w:szCs w:val="28"/>
          <w14:textFill>
            <w14:solidFill>
              <w14:schemeClr w14:val="tx1"/>
            </w14:solidFill>
          </w14:textFill>
        </w:rPr>
        <w:t>，满足</w:t>
      </w:r>
      <w:r>
        <w:rPr>
          <w:rFonts w:hint="eastAsia" w:cs="Times New Roman"/>
          <w:color w:val="000000" w:themeColor="text1"/>
          <w:sz w:val="28"/>
          <w:szCs w:val="28"/>
          <w14:textFill>
            <w14:solidFill>
              <w14:schemeClr w14:val="tx1"/>
            </w14:solidFill>
          </w14:textFill>
        </w:rPr>
        <w:t>包头市</w:t>
      </w:r>
      <w:r>
        <w:rPr>
          <w:rFonts w:cs="Times New Roman"/>
          <w:color w:val="000000" w:themeColor="text1"/>
          <w:sz w:val="28"/>
          <w:szCs w:val="28"/>
          <w14:textFill>
            <w14:solidFill>
              <w14:schemeClr w14:val="tx1"/>
            </w14:solidFill>
          </w14:textFill>
        </w:rPr>
        <w:t>水网确定的农田灌溉水有效利用系数控制指标0.6</w:t>
      </w:r>
      <w:r>
        <w:rPr>
          <w:rFonts w:hint="eastAsia" w:cs="Times New Roman"/>
          <w:color w:val="000000" w:themeColor="text1"/>
          <w:sz w:val="28"/>
          <w:szCs w:val="28"/>
          <w14:textFill>
            <w14:solidFill>
              <w14:schemeClr w14:val="tx1"/>
            </w14:solidFill>
          </w14:textFill>
        </w:rPr>
        <w:t>2</w:t>
      </w:r>
      <w:r>
        <w:rPr>
          <w:rFonts w:cs="Times New Roman"/>
          <w:color w:val="000000" w:themeColor="text1"/>
          <w:sz w:val="28"/>
          <w:szCs w:val="28"/>
          <w14:textFill>
            <w14:solidFill>
              <w14:schemeClr w14:val="tx1"/>
            </w14:solidFill>
          </w14:textFill>
        </w:rPr>
        <w:t>，符合2035年包头市农业节水要求。</w:t>
      </w:r>
      <w:r>
        <w:rPr>
          <w:rFonts w:hint="eastAsia" w:cs="Times New Roman"/>
          <w:color w:val="000000" w:themeColor="text1"/>
          <w:sz w:val="28"/>
          <w:szCs w:val="28"/>
          <w14:textFill>
            <w14:solidFill>
              <w14:schemeClr w14:val="tx1"/>
            </w14:solidFill>
          </w14:textFill>
        </w:rPr>
        <w:t>农田灌溉定额从现状2023</w:t>
      </w:r>
      <w:r>
        <w:rPr>
          <w:rFonts w:cs="Times New Roman"/>
          <w:color w:val="000000" w:themeColor="text1"/>
          <w:sz w:val="28"/>
          <w:szCs w:val="28"/>
          <w14:textFill>
            <w14:solidFill>
              <w14:schemeClr w14:val="tx1"/>
            </w14:solidFill>
          </w14:textFill>
        </w:rPr>
        <w:t>年</w:t>
      </w:r>
      <w:r>
        <w:rPr>
          <w:rFonts w:hint="eastAsia" w:cs="Times New Roman"/>
          <w:color w:val="000000" w:themeColor="text1"/>
          <w:sz w:val="28"/>
          <w:szCs w:val="28"/>
          <w14:textFill>
            <w14:solidFill>
              <w14:schemeClr w14:val="tx1"/>
            </w14:solidFill>
          </w14:textFill>
        </w:rPr>
        <w:t>194.37m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/亩，下降到2035</w:t>
      </w:r>
      <w:r>
        <w:rPr>
          <w:rFonts w:cs="Times New Roman"/>
          <w:color w:val="000000" w:themeColor="text1"/>
          <w:sz w:val="28"/>
          <w:szCs w:val="28"/>
          <w14:textFill>
            <w14:solidFill>
              <w14:schemeClr w14:val="tx1"/>
            </w14:solidFill>
          </w14:textFill>
        </w:rPr>
        <w:t>年</w:t>
      </w:r>
      <w:r>
        <w:rPr>
          <w:rFonts w:hint="eastAsia" w:cs="Times New Roman"/>
          <w:color w:val="000000" w:themeColor="text1"/>
          <w:sz w:val="28"/>
          <w:szCs w:val="28"/>
          <w14:textFill>
            <w14:solidFill>
              <w14:schemeClr w14:val="tx1"/>
            </w14:solidFill>
          </w14:textFill>
        </w:rPr>
        <w:t>185.48m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/亩。</w:t>
      </w:r>
    </w:p>
    <w:p w14:paraId="2B8539B2">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④</w:t>
      </w:r>
      <w:r>
        <w:rPr>
          <w:rFonts w:ascii="Cambria Math" w:hAnsi="Cambria Math" w:cs="Cambria Math"/>
          <w:b/>
          <w:bCs/>
          <w:sz w:val="28"/>
          <w:szCs w:val="28"/>
        </w:rPr>
        <w:t>生态用水定额分析</w:t>
      </w:r>
    </w:p>
    <w:p w14:paraId="4A488D01">
      <w:pPr>
        <w:widowControl/>
        <w:adjustRightInd w:val="0"/>
        <w:ind w:firstLine="560" w:firstLineChars="200"/>
        <w:rPr>
          <w:rFonts w:cs="Times New Roman"/>
          <w:sz w:val="28"/>
          <w:szCs w:val="28"/>
        </w:rPr>
      </w:pPr>
      <w:r>
        <w:rPr>
          <w:rFonts w:cs="Times New Roman"/>
          <w:sz w:val="28"/>
          <w:szCs w:val="28"/>
        </w:rPr>
        <w:t>根据《内蒙古自治区行业用水定额》（DB15/T385-2020），生态用水定额为城镇绿化2.9L/m²·d，每天灌溉1次，灌溉时间为4月15日至10月15日，按180d计；道路喷洒（包括场地、道路喷洒、公共厕所用水、垃圾中转站用水）平均约为2L/m²·d，年用水时间按210d计。考虑到</w:t>
      </w:r>
      <w:r>
        <w:rPr>
          <w:rFonts w:hint="eastAsia" w:cs="Times New Roman"/>
          <w:sz w:val="28"/>
          <w:szCs w:val="28"/>
        </w:rPr>
        <w:t>九原区</w:t>
      </w:r>
      <w:r>
        <w:rPr>
          <w:rFonts w:cs="Times New Roman"/>
          <w:sz w:val="28"/>
          <w:szCs w:val="28"/>
        </w:rPr>
        <w:t>属于缺水地区，根据现状用水情况及绿地实际灌溉情况，确定2035年</w:t>
      </w:r>
      <w:r>
        <w:rPr>
          <w:rFonts w:hint="eastAsia" w:cs="Times New Roman"/>
          <w:sz w:val="28"/>
          <w:szCs w:val="28"/>
        </w:rPr>
        <w:t>九原区</w:t>
      </w:r>
      <w:r>
        <w:rPr>
          <w:rFonts w:cs="Times New Roman"/>
          <w:sz w:val="28"/>
          <w:szCs w:val="28"/>
        </w:rPr>
        <w:t>城镇绿化灌溉定额为2L/m²·d、道路喷洒用水定额为1.8L/m²·d。</w:t>
      </w:r>
    </w:p>
    <w:p w14:paraId="56B8A3E8">
      <w:pPr>
        <w:widowControl/>
        <w:adjustRightInd w:val="0"/>
        <w:ind w:firstLine="562"/>
        <w:rPr>
          <w:rFonts w:ascii="Cambria Math" w:hAnsi="Cambria Math" w:cs="Cambria Math"/>
          <w:b/>
          <w:bCs/>
          <w:sz w:val="28"/>
          <w:szCs w:val="28"/>
        </w:rPr>
      </w:pPr>
      <w:r>
        <w:rPr>
          <w:rFonts w:hint="eastAsia" w:ascii="Cambria Math" w:hAnsi="Cambria Math" w:cs="Cambria Math"/>
          <w:b/>
          <w:bCs/>
          <w:sz w:val="28"/>
          <w:szCs w:val="28"/>
        </w:rPr>
        <w:t>⑤第三产业用水定额分析</w:t>
      </w:r>
    </w:p>
    <w:p w14:paraId="3C764093">
      <w:pPr>
        <w:widowControl/>
        <w:adjustRightInd w:val="0"/>
        <w:ind w:firstLine="560" w:firstLineChars="200"/>
        <w:rPr>
          <w:rFonts w:cs="Times New Roman"/>
          <w:sz w:val="28"/>
          <w:szCs w:val="28"/>
        </w:rPr>
      </w:pPr>
      <w:r>
        <w:rPr>
          <w:rFonts w:hint="eastAsia" w:cs="Times New Roman"/>
          <w:sz w:val="28"/>
          <w:szCs w:val="28"/>
        </w:rPr>
        <w:t>现状年（20</w:t>
      </w:r>
      <w:r>
        <w:rPr>
          <w:rFonts w:cs="Times New Roman"/>
          <w:sz w:val="28"/>
          <w:szCs w:val="28"/>
        </w:rPr>
        <w:t>2</w:t>
      </w:r>
      <w:r>
        <w:rPr>
          <w:rFonts w:hint="eastAsia" w:cs="Times New Roman"/>
          <w:sz w:val="28"/>
          <w:szCs w:val="28"/>
        </w:rPr>
        <w:t>3年），九原区第三产业增加值161.02亿元，用水量为72.46万m</w:t>
      </w:r>
      <w:r>
        <w:rPr>
          <w:rFonts w:hint="eastAsia" w:cs="Times New Roman"/>
          <w:sz w:val="28"/>
          <w:szCs w:val="28"/>
          <w:vertAlign w:val="superscript"/>
        </w:rPr>
        <w:t>3</w:t>
      </w:r>
      <w:r>
        <w:rPr>
          <w:rFonts w:hint="eastAsia" w:cs="Times New Roman"/>
          <w:sz w:val="28"/>
          <w:szCs w:val="28"/>
        </w:rPr>
        <w:t>，万元增加值用水量为</w:t>
      </w:r>
      <w:r>
        <w:rPr>
          <w:rFonts w:cs="Times New Roman"/>
          <w:sz w:val="28"/>
          <w:szCs w:val="28"/>
        </w:rPr>
        <w:t>0.</w:t>
      </w:r>
      <w:r>
        <w:rPr>
          <w:rFonts w:hint="eastAsia" w:cs="Times New Roman"/>
          <w:sz w:val="28"/>
          <w:szCs w:val="28"/>
        </w:rPr>
        <w:t>15m</w:t>
      </w:r>
      <w:r>
        <w:rPr>
          <w:rFonts w:hint="eastAsia" w:cs="Times New Roman"/>
          <w:sz w:val="28"/>
          <w:szCs w:val="28"/>
          <w:vertAlign w:val="superscript"/>
        </w:rPr>
        <w:t>3</w:t>
      </w:r>
      <w:r>
        <w:rPr>
          <w:rFonts w:hint="eastAsia" w:cs="Times New Roman"/>
          <w:sz w:val="28"/>
          <w:szCs w:val="28"/>
        </w:rPr>
        <w:t>/万元。根据《2</w:t>
      </w:r>
      <w:r>
        <w:rPr>
          <w:rFonts w:cs="Times New Roman"/>
          <w:sz w:val="28"/>
          <w:szCs w:val="28"/>
        </w:rPr>
        <w:t>02</w:t>
      </w:r>
      <w:r>
        <w:rPr>
          <w:rFonts w:hint="eastAsia" w:cs="Times New Roman"/>
          <w:sz w:val="28"/>
          <w:szCs w:val="28"/>
        </w:rPr>
        <w:t>3年包头市水资源公报》，全市第三产业万元增加值用水量为0</w:t>
      </w:r>
      <w:r>
        <w:rPr>
          <w:rFonts w:cs="Times New Roman"/>
          <w:sz w:val="28"/>
          <w:szCs w:val="28"/>
        </w:rPr>
        <w:t>.45</w:t>
      </w:r>
      <w:r>
        <w:rPr>
          <w:rFonts w:hint="eastAsia" w:cs="Times New Roman"/>
          <w:sz w:val="28"/>
          <w:szCs w:val="28"/>
        </w:rPr>
        <w:t>。推测</w:t>
      </w:r>
      <w:r>
        <w:rPr>
          <w:rFonts w:cs="Times New Roman"/>
          <w:sz w:val="28"/>
          <w:szCs w:val="28"/>
        </w:rPr>
        <w:t>九原区规划</w:t>
      </w:r>
      <w:r>
        <w:rPr>
          <w:rFonts w:hint="eastAsia" w:cs="Times New Roman"/>
          <w:sz w:val="28"/>
          <w:szCs w:val="28"/>
        </w:rPr>
        <w:t>年</w:t>
      </w:r>
      <w:r>
        <w:rPr>
          <w:rFonts w:cs="Times New Roman"/>
          <w:sz w:val="28"/>
          <w:szCs w:val="28"/>
        </w:rPr>
        <w:t>203</w:t>
      </w:r>
      <w:r>
        <w:rPr>
          <w:rFonts w:hint="eastAsia" w:cs="Times New Roman"/>
          <w:sz w:val="28"/>
          <w:szCs w:val="28"/>
        </w:rPr>
        <w:t>5</w:t>
      </w:r>
      <w:r>
        <w:rPr>
          <w:rFonts w:cs="Times New Roman"/>
          <w:sz w:val="28"/>
          <w:szCs w:val="28"/>
        </w:rPr>
        <w:t>年</w:t>
      </w:r>
      <w:r>
        <w:rPr>
          <w:rFonts w:hint="eastAsia" w:cs="Times New Roman"/>
          <w:sz w:val="28"/>
          <w:szCs w:val="28"/>
        </w:rPr>
        <w:t>万元增加值用水量为</w:t>
      </w:r>
      <w:r>
        <w:rPr>
          <w:rFonts w:cs="Times New Roman"/>
          <w:sz w:val="28"/>
          <w:szCs w:val="28"/>
        </w:rPr>
        <w:t>0.4</w:t>
      </w:r>
      <w:r>
        <w:rPr>
          <w:rFonts w:hint="eastAsia" w:cs="Times New Roman"/>
          <w:sz w:val="28"/>
          <w:szCs w:val="28"/>
        </w:rPr>
        <w:t>m</w:t>
      </w:r>
      <w:r>
        <w:rPr>
          <w:rFonts w:hint="eastAsia" w:cs="Times New Roman"/>
          <w:sz w:val="28"/>
          <w:szCs w:val="28"/>
          <w:vertAlign w:val="superscript"/>
        </w:rPr>
        <w:t>3</w:t>
      </w:r>
      <w:r>
        <w:rPr>
          <w:rFonts w:hint="eastAsia" w:cs="Times New Roman"/>
          <w:sz w:val="28"/>
          <w:szCs w:val="28"/>
        </w:rPr>
        <w:t>/万元。</w:t>
      </w:r>
    </w:p>
    <w:p w14:paraId="5FB90774">
      <w:pPr>
        <w:widowControl/>
        <w:adjustRightInd w:val="0"/>
        <w:ind w:firstLine="562" w:firstLineChars="200"/>
        <w:rPr>
          <w:rFonts w:hint="eastAsia" w:ascii="宋体" w:hAnsi="宋体" w:cs="宋体"/>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3 \* GB2 </w:instrText>
      </w:r>
      <w:r>
        <w:rPr>
          <w:rFonts w:hint="eastAsia" w:ascii="宋体" w:hAnsi="宋体" w:cs="宋体"/>
          <w:b/>
          <w:bCs/>
          <w:sz w:val="28"/>
          <w:szCs w:val="28"/>
        </w:rPr>
        <w:fldChar w:fldCharType="separate"/>
      </w:r>
      <w:r>
        <w:rPr>
          <w:rFonts w:hint="eastAsia" w:ascii="宋体" w:hAnsi="宋体" w:cs="宋体"/>
          <w:b/>
          <w:bCs/>
          <w:sz w:val="28"/>
          <w:szCs w:val="28"/>
        </w:rPr>
        <w:t>⑶</w:t>
      </w:r>
      <w:r>
        <w:rPr>
          <w:rFonts w:hint="eastAsia" w:ascii="宋体" w:hAnsi="宋体" w:cs="宋体"/>
          <w:b/>
          <w:bCs/>
          <w:sz w:val="28"/>
          <w:szCs w:val="28"/>
        </w:rPr>
        <w:fldChar w:fldCharType="end"/>
      </w:r>
      <w:r>
        <w:rPr>
          <w:rFonts w:ascii="宋体" w:hAnsi="宋体" w:cs="宋体"/>
          <w:b/>
          <w:bCs/>
          <w:sz w:val="28"/>
          <w:szCs w:val="28"/>
        </w:rPr>
        <w:t>用水需求预测</w:t>
      </w:r>
    </w:p>
    <w:p w14:paraId="14726D1F">
      <w:pPr>
        <w:widowControl/>
        <w:adjustRightInd w:val="0"/>
        <w:ind w:firstLine="560" w:firstLineChars="200"/>
        <w:rPr>
          <w:rFonts w:cs="Times New Roman"/>
          <w:sz w:val="28"/>
          <w:szCs w:val="28"/>
        </w:rPr>
      </w:pPr>
      <w:r>
        <w:rPr>
          <w:rFonts w:hint="eastAsia" w:cs="Times New Roman"/>
          <w:sz w:val="28"/>
          <w:szCs w:val="28"/>
        </w:rPr>
        <w:t>综合包头市九原区以上各行业需水量，2035年九原区总需水量10013.7万m</w:t>
      </w:r>
      <w:r>
        <w:rPr>
          <w:rFonts w:hint="eastAsia" w:cs="Times New Roman"/>
          <w:sz w:val="28"/>
          <w:szCs w:val="28"/>
          <w:vertAlign w:val="superscript"/>
        </w:rPr>
        <w:t>3</w:t>
      </w:r>
      <w:r>
        <w:rPr>
          <w:rFonts w:hint="eastAsia" w:cs="Times New Roman"/>
          <w:sz w:val="28"/>
          <w:szCs w:val="28"/>
        </w:rPr>
        <w:t>，其中农业需水量7105.87万m</w:t>
      </w:r>
      <w:r>
        <w:rPr>
          <w:rFonts w:hint="eastAsia" w:cs="Times New Roman"/>
          <w:sz w:val="28"/>
          <w:szCs w:val="28"/>
          <w:vertAlign w:val="superscript"/>
        </w:rPr>
        <w:t>3</w:t>
      </w:r>
      <w:r>
        <w:rPr>
          <w:rFonts w:hint="eastAsia" w:cs="Times New Roman"/>
          <w:sz w:val="28"/>
          <w:szCs w:val="28"/>
        </w:rPr>
        <w:t>，生活需水量771.73万m</w:t>
      </w:r>
      <w:r>
        <w:rPr>
          <w:rFonts w:hint="eastAsia" w:cs="Times New Roman"/>
          <w:sz w:val="28"/>
          <w:szCs w:val="28"/>
          <w:vertAlign w:val="superscript"/>
        </w:rPr>
        <w:t>3</w:t>
      </w:r>
      <w:r>
        <w:rPr>
          <w:rFonts w:hint="eastAsia" w:cs="Times New Roman"/>
          <w:sz w:val="28"/>
          <w:szCs w:val="28"/>
        </w:rPr>
        <w:t>，工业需水量1702.34万m</w:t>
      </w:r>
      <w:r>
        <w:rPr>
          <w:rFonts w:hint="eastAsia" w:cs="Times New Roman"/>
          <w:sz w:val="28"/>
          <w:szCs w:val="28"/>
          <w:vertAlign w:val="superscript"/>
        </w:rPr>
        <w:t>3</w:t>
      </w:r>
      <w:r>
        <w:rPr>
          <w:rFonts w:hint="eastAsia" w:cs="Times New Roman"/>
          <w:sz w:val="28"/>
          <w:szCs w:val="28"/>
        </w:rPr>
        <w:t>，第三产业需水量82万m</w:t>
      </w:r>
      <w:r>
        <w:rPr>
          <w:rFonts w:hint="eastAsia" w:cs="Times New Roman"/>
          <w:sz w:val="28"/>
          <w:szCs w:val="28"/>
          <w:vertAlign w:val="superscript"/>
        </w:rPr>
        <w:t>3</w:t>
      </w:r>
      <w:r>
        <w:rPr>
          <w:rFonts w:hint="eastAsia" w:cs="Times New Roman"/>
          <w:sz w:val="28"/>
          <w:szCs w:val="28"/>
        </w:rPr>
        <w:t>，生态环境需水量351.75万m</w:t>
      </w:r>
      <w:r>
        <w:rPr>
          <w:rFonts w:hint="eastAsia" w:cs="Times New Roman"/>
          <w:sz w:val="28"/>
          <w:szCs w:val="28"/>
          <w:vertAlign w:val="superscript"/>
        </w:rPr>
        <w:t>3</w:t>
      </w:r>
      <w:r>
        <w:rPr>
          <w:rFonts w:hint="eastAsia" w:cs="Times New Roman"/>
          <w:sz w:val="28"/>
          <w:szCs w:val="28"/>
        </w:rPr>
        <w:t>。</w:t>
      </w:r>
    </w:p>
    <w:p w14:paraId="1953460E">
      <w:pPr>
        <w:widowControl/>
        <w:adjustRightInd w:val="0"/>
        <w:spacing w:line="240" w:lineRule="auto"/>
        <w:jc w:val="center"/>
        <w:rPr>
          <w:rFonts w:cs="Times New Roman"/>
          <w:b/>
          <w:bCs/>
          <w:sz w:val="28"/>
          <w:szCs w:val="28"/>
        </w:rPr>
      </w:pPr>
      <w:r>
        <w:rPr>
          <w:rFonts w:hint="eastAsia" w:cs="Times New Roman"/>
          <w:b/>
          <w:bCs/>
          <w:sz w:val="28"/>
          <w:szCs w:val="28"/>
        </w:rPr>
        <w:t>表4-5</w:t>
      </w:r>
      <w:r>
        <w:rPr>
          <w:rFonts w:cs="Times New Roman"/>
          <w:b/>
          <w:bCs/>
          <w:sz w:val="28"/>
          <w:szCs w:val="28"/>
        </w:rPr>
        <w:t xml:space="preserve">  </w:t>
      </w:r>
      <w:r>
        <w:rPr>
          <w:rFonts w:hint="eastAsia" w:cs="Times New Roman"/>
          <w:b/>
          <w:bCs/>
          <w:sz w:val="28"/>
          <w:szCs w:val="28"/>
        </w:rPr>
        <w:t>九原区规划水平年（2035）需水总量</w:t>
      </w:r>
      <w:r>
        <w:rPr>
          <w:rFonts w:cs="Times New Roman"/>
          <w:b/>
          <w:bCs/>
          <w:sz w:val="28"/>
          <w:szCs w:val="28"/>
        </w:rPr>
        <w:t xml:space="preserve">  </w:t>
      </w:r>
      <w:r>
        <w:rPr>
          <w:rFonts w:hint="eastAsia" w:cs="Times New Roman"/>
          <w:b/>
          <w:bCs/>
          <w:sz w:val="28"/>
          <w:szCs w:val="28"/>
        </w:rPr>
        <w:t>单位：万</w:t>
      </w:r>
      <w:r>
        <w:rPr>
          <w:rFonts w:cs="Times New Roman"/>
          <w:b/>
          <w:bCs/>
          <w:sz w:val="28"/>
          <w:szCs w:val="28"/>
        </w:rPr>
        <w:t>m</w:t>
      </w:r>
      <w:r>
        <w:rPr>
          <w:rFonts w:cs="Times New Roman"/>
          <w:b/>
          <w:bCs/>
          <w:sz w:val="28"/>
          <w:szCs w:val="28"/>
          <w:vertAlign w:val="superscript"/>
        </w:rPr>
        <w:t>3</w:t>
      </w:r>
    </w:p>
    <w:tbl>
      <w:tblPr>
        <w:tblStyle w:val="19"/>
        <w:tblW w:w="5000" w:type="pct"/>
        <w:tblInd w:w="0" w:type="dxa"/>
        <w:tblLayout w:type="autofit"/>
        <w:tblCellMar>
          <w:top w:w="0" w:type="dxa"/>
          <w:left w:w="108" w:type="dxa"/>
          <w:bottom w:w="0" w:type="dxa"/>
          <w:right w:w="108" w:type="dxa"/>
        </w:tblCellMar>
      </w:tblPr>
      <w:tblGrid>
        <w:gridCol w:w="1043"/>
        <w:gridCol w:w="1208"/>
        <w:gridCol w:w="1208"/>
        <w:gridCol w:w="1208"/>
        <w:gridCol w:w="1208"/>
        <w:gridCol w:w="1455"/>
        <w:gridCol w:w="1192"/>
      </w:tblGrid>
      <w:tr w14:paraId="7E3D70B2">
        <w:tblPrEx>
          <w:tblCellMar>
            <w:top w:w="0" w:type="dxa"/>
            <w:left w:w="108" w:type="dxa"/>
            <w:bottom w:w="0" w:type="dxa"/>
            <w:right w:w="108" w:type="dxa"/>
          </w:tblCellMar>
        </w:tblPrEx>
        <w:trPr>
          <w:trHeight w:val="315" w:hRule="atLeast"/>
        </w:trPr>
        <w:tc>
          <w:tcPr>
            <w:tcW w:w="61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B3565D">
            <w:pPr>
              <w:adjustRightInd w:val="0"/>
              <w:spacing w:line="240" w:lineRule="auto"/>
              <w:jc w:val="center"/>
              <w:rPr>
                <w:rFonts w:cs="Times New Roman"/>
                <w:color w:val="000000"/>
                <w:szCs w:val="24"/>
              </w:rPr>
            </w:pPr>
            <w:r>
              <w:rPr>
                <w:rFonts w:cs="Times New Roman"/>
                <w:color w:val="000000"/>
                <w:szCs w:val="24"/>
              </w:rPr>
              <w:t>水平年</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3D04E801">
            <w:pPr>
              <w:adjustRightInd w:val="0"/>
              <w:spacing w:line="240" w:lineRule="auto"/>
              <w:jc w:val="center"/>
              <w:rPr>
                <w:rFonts w:cs="Times New Roman"/>
                <w:color w:val="000000"/>
                <w:szCs w:val="24"/>
              </w:rPr>
            </w:pPr>
            <w:r>
              <w:rPr>
                <w:rFonts w:cs="Times New Roman"/>
                <w:color w:val="000000"/>
                <w:szCs w:val="24"/>
              </w:rPr>
              <w:t>生活需水</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00454D60">
            <w:pPr>
              <w:adjustRightInd w:val="0"/>
              <w:spacing w:line="240" w:lineRule="auto"/>
              <w:jc w:val="center"/>
              <w:rPr>
                <w:rFonts w:cs="Times New Roman"/>
                <w:color w:val="000000"/>
                <w:szCs w:val="24"/>
              </w:rPr>
            </w:pPr>
            <w:r>
              <w:rPr>
                <w:rFonts w:cs="Times New Roman"/>
                <w:color w:val="000000"/>
                <w:szCs w:val="24"/>
              </w:rPr>
              <w:t>第一产业</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7DB61BA3">
            <w:pPr>
              <w:adjustRightInd w:val="0"/>
              <w:spacing w:line="240" w:lineRule="auto"/>
              <w:jc w:val="center"/>
              <w:rPr>
                <w:rFonts w:cs="Times New Roman"/>
                <w:color w:val="000000"/>
                <w:szCs w:val="24"/>
              </w:rPr>
            </w:pPr>
            <w:r>
              <w:rPr>
                <w:rFonts w:cs="Times New Roman"/>
                <w:color w:val="000000"/>
                <w:szCs w:val="24"/>
              </w:rPr>
              <w:t>第二产业</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4E4F2C29">
            <w:pPr>
              <w:adjustRightInd w:val="0"/>
              <w:spacing w:line="240" w:lineRule="auto"/>
              <w:jc w:val="center"/>
              <w:rPr>
                <w:rFonts w:cs="Times New Roman"/>
                <w:color w:val="000000"/>
                <w:szCs w:val="24"/>
              </w:rPr>
            </w:pPr>
            <w:r>
              <w:rPr>
                <w:rFonts w:cs="Times New Roman"/>
                <w:color w:val="000000"/>
                <w:szCs w:val="24"/>
              </w:rPr>
              <w:t>第三产业</w:t>
            </w:r>
          </w:p>
        </w:tc>
        <w:tc>
          <w:tcPr>
            <w:tcW w:w="853" w:type="pct"/>
            <w:tcBorders>
              <w:top w:val="single" w:color="auto" w:sz="4" w:space="0"/>
              <w:left w:val="nil"/>
              <w:bottom w:val="single" w:color="auto" w:sz="4" w:space="0"/>
              <w:right w:val="single" w:color="auto" w:sz="4" w:space="0"/>
            </w:tcBorders>
            <w:shd w:val="clear" w:color="auto" w:fill="auto"/>
            <w:noWrap/>
            <w:vAlign w:val="center"/>
          </w:tcPr>
          <w:p w14:paraId="4E5DF0FE">
            <w:pPr>
              <w:adjustRightInd w:val="0"/>
              <w:spacing w:line="240" w:lineRule="auto"/>
              <w:jc w:val="center"/>
              <w:rPr>
                <w:rFonts w:cs="Times New Roman"/>
                <w:color w:val="000000"/>
                <w:szCs w:val="24"/>
              </w:rPr>
            </w:pPr>
            <w:r>
              <w:rPr>
                <w:rFonts w:cs="Times New Roman"/>
                <w:color w:val="000000"/>
                <w:szCs w:val="24"/>
              </w:rPr>
              <w:t>生态需水量</w:t>
            </w:r>
          </w:p>
        </w:tc>
        <w:tc>
          <w:tcPr>
            <w:tcW w:w="699" w:type="pct"/>
            <w:tcBorders>
              <w:top w:val="single" w:color="auto" w:sz="4" w:space="0"/>
              <w:left w:val="nil"/>
              <w:bottom w:val="single" w:color="auto" w:sz="4" w:space="0"/>
              <w:right w:val="single" w:color="auto" w:sz="4" w:space="0"/>
            </w:tcBorders>
            <w:shd w:val="clear" w:color="auto" w:fill="auto"/>
            <w:noWrap/>
            <w:vAlign w:val="center"/>
          </w:tcPr>
          <w:p w14:paraId="04F320C9">
            <w:pPr>
              <w:adjustRightInd w:val="0"/>
              <w:spacing w:line="240" w:lineRule="auto"/>
              <w:jc w:val="center"/>
              <w:rPr>
                <w:rFonts w:cs="Times New Roman"/>
                <w:color w:val="000000"/>
                <w:szCs w:val="24"/>
              </w:rPr>
            </w:pPr>
            <w:r>
              <w:rPr>
                <w:rFonts w:cs="Times New Roman"/>
                <w:color w:val="000000"/>
                <w:szCs w:val="24"/>
              </w:rPr>
              <w:t>合计</w:t>
            </w:r>
          </w:p>
        </w:tc>
      </w:tr>
      <w:tr w14:paraId="56C3E79D">
        <w:tblPrEx>
          <w:tblCellMar>
            <w:top w:w="0" w:type="dxa"/>
            <w:left w:w="108" w:type="dxa"/>
            <w:bottom w:w="0" w:type="dxa"/>
            <w:right w:w="108" w:type="dxa"/>
          </w:tblCellMar>
        </w:tblPrEx>
        <w:trPr>
          <w:trHeight w:val="315" w:hRule="atLeast"/>
        </w:trPr>
        <w:tc>
          <w:tcPr>
            <w:tcW w:w="61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B6B0286">
            <w:pPr>
              <w:adjustRightInd w:val="0"/>
              <w:spacing w:line="240" w:lineRule="auto"/>
              <w:jc w:val="center"/>
              <w:rPr>
                <w:rFonts w:cs="Times New Roman"/>
                <w:color w:val="000000"/>
                <w:szCs w:val="24"/>
              </w:rPr>
            </w:pPr>
            <w:r>
              <w:rPr>
                <w:rFonts w:hint="eastAsia" w:cs="Times New Roman"/>
                <w:color w:val="000000"/>
                <w:szCs w:val="24"/>
              </w:rPr>
              <w:t>2023</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434CA599">
            <w:pPr>
              <w:adjustRightInd w:val="0"/>
              <w:spacing w:line="240" w:lineRule="auto"/>
              <w:jc w:val="center"/>
              <w:rPr>
                <w:rFonts w:cs="Times New Roman"/>
                <w:color w:val="000000"/>
                <w:szCs w:val="24"/>
              </w:rPr>
            </w:pPr>
            <w:r>
              <w:rPr>
                <w:rFonts w:hint="eastAsia" w:cs="Times New Roman"/>
                <w:color w:val="000000"/>
                <w:szCs w:val="24"/>
              </w:rPr>
              <w:t>570.27</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6E79AD08">
            <w:pPr>
              <w:adjustRightInd w:val="0"/>
              <w:spacing w:line="240" w:lineRule="auto"/>
              <w:jc w:val="center"/>
              <w:rPr>
                <w:rFonts w:cs="Times New Roman"/>
                <w:color w:val="000000"/>
                <w:szCs w:val="24"/>
              </w:rPr>
            </w:pPr>
            <w:r>
              <w:rPr>
                <w:rFonts w:cs="Times New Roman"/>
                <w:color w:val="000000"/>
                <w:szCs w:val="24"/>
              </w:rPr>
              <w:t>7398.00</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4CEFEC90">
            <w:pPr>
              <w:adjustRightInd w:val="0"/>
              <w:spacing w:line="240" w:lineRule="auto"/>
              <w:jc w:val="center"/>
              <w:rPr>
                <w:rFonts w:cs="Times New Roman"/>
                <w:color w:val="000000"/>
                <w:szCs w:val="24"/>
              </w:rPr>
            </w:pPr>
            <w:r>
              <w:rPr>
                <w:rFonts w:cs="Times New Roman"/>
                <w:color w:val="000000"/>
                <w:szCs w:val="24"/>
              </w:rPr>
              <w:t>1420.25</w:t>
            </w:r>
          </w:p>
        </w:tc>
        <w:tc>
          <w:tcPr>
            <w:tcW w:w="709" w:type="pct"/>
            <w:tcBorders>
              <w:top w:val="single" w:color="auto" w:sz="4" w:space="0"/>
              <w:left w:val="nil"/>
              <w:bottom w:val="single" w:color="auto" w:sz="4" w:space="0"/>
              <w:right w:val="single" w:color="auto" w:sz="4" w:space="0"/>
            </w:tcBorders>
            <w:shd w:val="clear" w:color="auto" w:fill="auto"/>
            <w:noWrap/>
            <w:vAlign w:val="center"/>
          </w:tcPr>
          <w:p w14:paraId="2B533671">
            <w:pPr>
              <w:adjustRightInd w:val="0"/>
              <w:spacing w:line="240" w:lineRule="auto"/>
              <w:jc w:val="center"/>
              <w:rPr>
                <w:rFonts w:cs="Times New Roman"/>
                <w:color w:val="000000"/>
                <w:szCs w:val="24"/>
              </w:rPr>
            </w:pPr>
            <w:r>
              <w:rPr>
                <w:rFonts w:cs="Times New Roman"/>
                <w:color w:val="000000"/>
                <w:szCs w:val="24"/>
              </w:rPr>
              <w:t>72.</w:t>
            </w:r>
            <w:r>
              <w:rPr>
                <w:rFonts w:hint="eastAsia" w:cs="Times New Roman"/>
                <w:color w:val="000000"/>
                <w:szCs w:val="24"/>
              </w:rPr>
              <w:t>46</w:t>
            </w:r>
          </w:p>
        </w:tc>
        <w:tc>
          <w:tcPr>
            <w:tcW w:w="853" w:type="pct"/>
            <w:tcBorders>
              <w:top w:val="single" w:color="auto" w:sz="4" w:space="0"/>
              <w:left w:val="nil"/>
              <w:bottom w:val="single" w:color="auto" w:sz="4" w:space="0"/>
              <w:right w:val="single" w:color="auto" w:sz="4" w:space="0"/>
            </w:tcBorders>
            <w:shd w:val="clear" w:color="auto" w:fill="auto"/>
            <w:noWrap/>
            <w:vAlign w:val="center"/>
          </w:tcPr>
          <w:p w14:paraId="325C56A2">
            <w:pPr>
              <w:adjustRightInd w:val="0"/>
              <w:spacing w:line="240" w:lineRule="auto"/>
              <w:jc w:val="center"/>
              <w:rPr>
                <w:rFonts w:cs="Times New Roman"/>
                <w:color w:val="000000"/>
                <w:szCs w:val="24"/>
              </w:rPr>
            </w:pPr>
            <w:r>
              <w:rPr>
                <w:rFonts w:hint="eastAsia" w:cs="Times New Roman"/>
                <w:color w:val="000000"/>
                <w:szCs w:val="24"/>
              </w:rPr>
              <w:t>310.00</w:t>
            </w:r>
          </w:p>
        </w:tc>
        <w:tc>
          <w:tcPr>
            <w:tcW w:w="699" w:type="pct"/>
            <w:tcBorders>
              <w:top w:val="single" w:color="auto" w:sz="4" w:space="0"/>
              <w:left w:val="nil"/>
              <w:bottom w:val="single" w:color="auto" w:sz="4" w:space="0"/>
              <w:right w:val="single" w:color="auto" w:sz="4" w:space="0"/>
            </w:tcBorders>
            <w:shd w:val="clear" w:color="auto" w:fill="auto"/>
            <w:noWrap/>
            <w:vAlign w:val="center"/>
          </w:tcPr>
          <w:p w14:paraId="1B744691">
            <w:pPr>
              <w:adjustRightInd w:val="0"/>
              <w:spacing w:line="240" w:lineRule="auto"/>
              <w:jc w:val="center"/>
              <w:rPr>
                <w:rFonts w:cs="Times New Roman"/>
                <w:color w:val="000000"/>
                <w:szCs w:val="24"/>
              </w:rPr>
            </w:pPr>
            <w:r>
              <w:rPr>
                <w:rFonts w:hint="eastAsia" w:cs="Times New Roman"/>
                <w:color w:val="000000"/>
                <w:szCs w:val="24"/>
              </w:rPr>
              <w:t>9770.98</w:t>
            </w:r>
          </w:p>
        </w:tc>
      </w:tr>
      <w:tr w14:paraId="3BD0F8F4">
        <w:tblPrEx>
          <w:tblCellMar>
            <w:top w:w="0" w:type="dxa"/>
            <w:left w:w="108" w:type="dxa"/>
            <w:bottom w:w="0" w:type="dxa"/>
            <w:right w:w="108" w:type="dxa"/>
          </w:tblCellMar>
        </w:tblPrEx>
        <w:trPr>
          <w:trHeight w:val="315" w:hRule="atLeast"/>
        </w:trPr>
        <w:tc>
          <w:tcPr>
            <w:tcW w:w="612" w:type="pct"/>
            <w:tcBorders>
              <w:top w:val="nil"/>
              <w:left w:val="single" w:color="auto" w:sz="4" w:space="0"/>
              <w:bottom w:val="single" w:color="auto" w:sz="4" w:space="0"/>
              <w:right w:val="single" w:color="auto" w:sz="4" w:space="0"/>
            </w:tcBorders>
            <w:shd w:val="clear" w:color="auto" w:fill="auto"/>
            <w:vAlign w:val="center"/>
          </w:tcPr>
          <w:p w14:paraId="1953D320">
            <w:pPr>
              <w:adjustRightInd w:val="0"/>
              <w:spacing w:line="240" w:lineRule="auto"/>
              <w:jc w:val="center"/>
              <w:rPr>
                <w:rFonts w:cs="Times New Roman"/>
                <w:color w:val="000000"/>
                <w:szCs w:val="24"/>
              </w:rPr>
            </w:pPr>
            <w:r>
              <w:rPr>
                <w:rFonts w:cs="Times New Roman"/>
                <w:color w:val="000000"/>
                <w:szCs w:val="24"/>
              </w:rPr>
              <w:t>203</w:t>
            </w:r>
            <w:r>
              <w:rPr>
                <w:rFonts w:hint="eastAsia" w:cs="Times New Roman"/>
                <w:color w:val="000000"/>
                <w:szCs w:val="24"/>
              </w:rPr>
              <w:t>5</w:t>
            </w:r>
          </w:p>
        </w:tc>
        <w:tc>
          <w:tcPr>
            <w:tcW w:w="709" w:type="pct"/>
            <w:tcBorders>
              <w:top w:val="nil"/>
              <w:left w:val="nil"/>
              <w:bottom w:val="single" w:color="auto" w:sz="4" w:space="0"/>
              <w:right w:val="single" w:color="auto" w:sz="4" w:space="0"/>
            </w:tcBorders>
            <w:shd w:val="clear" w:color="auto" w:fill="auto"/>
            <w:noWrap/>
          </w:tcPr>
          <w:p w14:paraId="3FD74160">
            <w:pPr>
              <w:adjustRightInd w:val="0"/>
              <w:spacing w:line="240" w:lineRule="auto"/>
              <w:jc w:val="center"/>
              <w:rPr>
                <w:rFonts w:cs="Times New Roman"/>
                <w:color w:val="000000"/>
                <w:szCs w:val="24"/>
              </w:rPr>
            </w:pPr>
            <w:r>
              <w:t>771.73</w:t>
            </w:r>
          </w:p>
        </w:tc>
        <w:tc>
          <w:tcPr>
            <w:tcW w:w="709" w:type="pct"/>
            <w:tcBorders>
              <w:top w:val="nil"/>
              <w:left w:val="nil"/>
              <w:bottom w:val="single" w:color="auto" w:sz="4" w:space="0"/>
              <w:right w:val="single" w:color="auto" w:sz="4" w:space="0"/>
            </w:tcBorders>
            <w:shd w:val="clear" w:color="auto" w:fill="auto"/>
            <w:noWrap/>
          </w:tcPr>
          <w:p w14:paraId="3FF3D60B">
            <w:pPr>
              <w:adjustRightInd w:val="0"/>
              <w:spacing w:line="240" w:lineRule="auto"/>
              <w:jc w:val="center"/>
              <w:rPr>
                <w:rFonts w:cs="Times New Roman"/>
                <w:color w:val="000000"/>
                <w:szCs w:val="24"/>
              </w:rPr>
            </w:pPr>
            <w:r>
              <w:t>7105.87</w:t>
            </w:r>
          </w:p>
        </w:tc>
        <w:tc>
          <w:tcPr>
            <w:tcW w:w="709" w:type="pct"/>
            <w:tcBorders>
              <w:top w:val="nil"/>
              <w:left w:val="nil"/>
              <w:bottom w:val="single" w:color="auto" w:sz="4" w:space="0"/>
              <w:right w:val="single" w:color="auto" w:sz="4" w:space="0"/>
            </w:tcBorders>
            <w:shd w:val="clear" w:color="auto" w:fill="auto"/>
          </w:tcPr>
          <w:p w14:paraId="0867397E">
            <w:pPr>
              <w:adjustRightInd w:val="0"/>
              <w:spacing w:line="240" w:lineRule="auto"/>
              <w:jc w:val="center"/>
              <w:rPr>
                <w:rFonts w:cs="Times New Roman"/>
                <w:color w:val="000000"/>
                <w:szCs w:val="24"/>
              </w:rPr>
            </w:pPr>
            <w:r>
              <w:t>1702.34</w:t>
            </w:r>
          </w:p>
        </w:tc>
        <w:tc>
          <w:tcPr>
            <w:tcW w:w="709" w:type="pct"/>
            <w:tcBorders>
              <w:top w:val="nil"/>
              <w:left w:val="nil"/>
              <w:bottom w:val="single" w:color="auto" w:sz="4" w:space="0"/>
              <w:right w:val="single" w:color="auto" w:sz="4" w:space="0"/>
            </w:tcBorders>
            <w:shd w:val="clear" w:color="auto" w:fill="auto"/>
          </w:tcPr>
          <w:p w14:paraId="7B1553E9">
            <w:pPr>
              <w:adjustRightInd w:val="0"/>
              <w:spacing w:line="240" w:lineRule="auto"/>
              <w:jc w:val="center"/>
              <w:rPr>
                <w:rFonts w:cs="Times New Roman"/>
                <w:color w:val="000000"/>
                <w:szCs w:val="24"/>
              </w:rPr>
            </w:pPr>
            <w:r>
              <w:t>82.00</w:t>
            </w:r>
          </w:p>
        </w:tc>
        <w:tc>
          <w:tcPr>
            <w:tcW w:w="853" w:type="pct"/>
            <w:tcBorders>
              <w:top w:val="nil"/>
              <w:left w:val="nil"/>
              <w:bottom w:val="single" w:color="auto" w:sz="4" w:space="0"/>
              <w:right w:val="single" w:color="auto" w:sz="4" w:space="0"/>
            </w:tcBorders>
            <w:shd w:val="clear" w:color="auto" w:fill="auto"/>
          </w:tcPr>
          <w:p w14:paraId="7C411A3C">
            <w:pPr>
              <w:adjustRightInd w:val="0"/>
              <w:spacing w:line="240" w:lineRule="auto"/>
              <w:jc w:val="center"/>
              <w:rPr>
                <w:rFonts w:cs="Times New Roman"/>
                <w:color w:val="000000"/>
                <w:szCs w:val="24"/>
              </w:rPr>
            </w:pPr>
            <w:r>
              <w:t>351.75</w:t>
            </w:r>
          </w:p>
        </w:tc>
        <w:tc>
          <w:tcPr>
            <w:tcW w:w="699" w:type="pct"/>
            <w:tcBorders>
              <w:top w:val="nil"/>
              <w:left w:val="nil"/>
              <w:bottom w:val="single" w:color="auto" w:sz="4" w:space="0"/>
              <w:right w:val="single" w:color="auto" w:sz="4" w:space="0"/>
            </w:tcBorders>
            <w:shd w:val="clear" w:color="auto" w:fill="auto"/>
            <w:noWrap/>
          </w:tcPr>
          <w:p w14:paraId="68987518">
            <w:pPr>
              <w:adjustRightInd w:val="0"/>
              <w:spacing w:line="240" w:lineRule="auto"/>
              <w:jc w:val="center"/>
              <w:rPr>
                <w:rFonts w:cs="Times New Roman"/>
                <w:color w:val="000000"/>
                <w:szCs w:val="24"/>
              </w:rPr>
            </w:pPr>
            <w:r>
              <w:t>10013.70</w:t>
            </w:r>
          </w:p>
        </w:tc>
      </w:tr>
    </w:tbl>
    <w:p w14:paraId="0E46A644">
      <w:pPr>
        <w:widowControl/>
        <w:adjustRightInd w:val="0"/>
        <w:spacing w:before="156" w:beforeLines="50"/>
        <w:ind w:firstLine="562" w:firstLineChars="200"/>
        <w:rPr>
          <w:rFonts w:hint="eastAsia" w:ascii="宋体" w:hAnsi="宋体" w:cs="宋体"/>
          <w:b/>
          <w:bCs/>
          <w:sz w:val="28"/>
          <w:szCs w:val="28"/>
        </w:rPr>
      </w:pPr>
      <w:r>
        <w:rPr>
          <w:rFonts w:hint="eastAsia" w:ascii="宋体" w:hAnsi="宋体" w:cs="宋体"/>
          <w:b/>
          <w:bCs/>
          <w:sz w:val="28"/>
          <w:szCs w:val="28"/>
        </w:rPr>
        <w:fldChar w:fldCharType="begin"/>
      </w:r>
      <w:r>
        <w:rPr>
          <w:rFonts w:hint="eastAsia" w:ascii="宋体" w:hAnsi="宋体" w:cs="宋体"/>
          <w:b/>
          <w:bCs/>
          <w:sz w:val="28"/>
          <w:szCs w:val="28"/>
        </w:rPr>
        <w:instrText xml:space="preserve"> = 4 \* GB2 </w:instrText>
      </w:r>
      <w:r>
        <w:rPr>
          <w:rFonts w:hint="eastAsia" w:ascii="宋体" w:hAnsi="宋体" w:cs="宋体"/>
          <w:b/>
          <w:bCs/>
          <w:sz w:val="28"/>
          <w:szCs w:val="28"/>
        </w:rPr>
        <w:fldChar w:fldCharType="separate"/>
      </w:r>
      <w:r>
        <w:rPr>
          <w:rFonts w:hint="eastAsia" w:ascii="宋体" w:hAnsi="宋体" w:cs="宋体"/>
          <w:b/>
          <w:bCs/>
          <w:sz w:val="28"/>
          <w:szCs w:val="28"/>
        </w:rPr>
        <w:t>⑷</w:t>
      </w:r>
      <w:r>
        <w:rPr>
          <w:rFonts w:hint="eastAsia" w:ascii="宋体" w:hAnsi="宋体" w:cs="宋体"/>
          <w:b/>
          <w:bCs/>
          <w:sz w:val="28"/>
          <w:szCs w:val="28"/>
        </w:rPr>
        <w:fldChar w:fldCharType="end"/>
      </w:r>
      <w:r>
        <w:rPr>
          <w:rFonts w:hint="eastAsia" w:ascii="宋体" w:hAnsi="宋体" w:cs="宋体"/>
          <w:b/>
          <w:bCs/>
          <w:sz w:val="28"/>
          <w:szCs w:val="28"/>
        </w:rPr>
        <w:t>需水预测合理性分析</w:t>
      </w:r>
    </w:p>
    <w:p w14:paraId="3A7DCA85">
      <w:pPr>
        <w:widowControl/>
        <w:adjustRightInd w:val="0"/>
        <w:ind w:firstLine="560" w:firstLineChars="200"/>
        <w:rPr>
          <w:rFonts w:cs="Times New Roman"/>
          <w:sz w:val="28"/>
          <w:szCs w:val="28"/>
        </w:rPr>
      </w:pPr>
      <w:r>
        <w:rPr>
          <w:rFonts w:cs="Times New Roman"/>
          <w:sz w:val="28"/>
          <w:szCs w:val="28"/>
        </w:rPr>
        <w:t>根据需水预测结果和现状年用水水平分析可知，规划水平年（20</w:t>
      </w:r>
      <w:r>
        <w:rPr>
          <w:rFonts w:hint="eastAsia" w:cs="Times New Roman"/>
          <w:sz w:val="28"/>
          <w:szCs w:val="28"/>
        </w:rPr>
        <w:t>35</w:t>
      </w:r>
      <w:r>
        <w:rPr>
          <w:rFonts w:cs="Times New Roman"/>
          <w:sz w:val="28"/>
          <w:szCs w:val="28"/>
        </w:rPr>
        <w:t>年）九原区需水总量与现状年相比</w:t>
      </w:r>
      <w:r>
        <w:rPr>
          <w:rFonts w:hint="eastAsia" w:cs="Times New Roman"/>
          <w:sz w:val="28"/>
          <w:szCs w:val="28"/>
        </w:rPr>
        <w:t>减少69.73</w:t>
      </w:r>
      <w:r>
        <w:rPr>
          <w:rFonts w:cs="Times New Roman"/>
          <w:sz w:val="28"/>
          <w:szCs w:val="28"/>
        </w:rPr>
        <w:t>万m</w:t>
      </w:r>
      <w:r>
        <w:rPr>
          <w:rFonts w:cs="Times New Roman"/>
          <w:sz w:val="28"/>
          <w:szCs w:val="28"/>
          <w:vertAlign w:val="superscript"/>
        </w:rPr>
        <w:t>3</w:t>
      </w:r>
      <w:r>
        <w:rPr>
          <w:rFonts w:cs="Times New Roman"/>
          <w:sz w:val="28"/>
          <w:szCs w:val="28"/>
        </w:rPr>
        <w:t>，增长率为</w:t>
      </w:r>
      <w:r>
        <w:rPr>
          <w:rFonts w:hint="eastAsia" w:cs="Times New Roman"/>
          <w:sz w:val="28"/>
          <w:szCs w:val="28"/>
        </w:rPr>
        <w:t>-0.71</w:t>
      </w:r>
      <w:r>
        <w:rPr>
          <w:rFonts w:cs="Times New Roman"/>
          <w:sz w:val="28"/>
          <w:szCs w:val="28"/>
        </w:rPr>
        <w:t>%，国内生产总值增长</w:t>
      </w:r>
      <w:r>
        <w:rPr>
          <w:rFonts w:hint="eastAsia" w:cs="Times New Roman"/>
          <w:sz w:val="28"/>
          <w:szCs w:val="28"/>
        </w:rPr>
        <w:t>13.42</w:t>
      </w:r>
      <w:r>
        <w:rPr>
          <w:rFonts w:cs="Times New Roman"/>
          <w:sz w:val="28"/>
          <w:szCs w:val="28"/>
        </w:rPr>
        <w:t>亿元，增长率为1</w:t>
      </w:r>
      <w:r>
        <w:rPr>
          <w:rFonts w:hint="eastAsia" w:cs="Times New Roman"/>
          <w:sz w:val="28"/>
          <w:szCs w:val="28"/>
        </w:rPr>
        <w:t>3.42</w:t>
      </w:r>
      <w:r>
        <w:rPr>
          <w:rFonts w:cs="Times New Roman"/>
          <w:sz w:val="28"/>
          <w:szCs w:val="28"/>
        </w:rPr>
        <w:t>%，需水量得到有效控制，用水效率与效益明显提高。</w:t>
      </w:r>
    </w:p>
    <w:p w14:paraId="06CF22D1">
      <w:pPr>
        <w:adjustRightInd w:val="0"/>
        <w:spacing w:line="240" w:lineRule="auto"/>
        <w:jc w:val="center"/>
        <w:rPr>
          <w:rFonts w:cs="Times New Roman"/>
          <w:b/>
          <w:szCs w:val="21"/>
        </w:rPr>
      </w:pPr>
      <w:r>
        <w:rPr>
          <w:rFonts w:cs="Times New Roman"/>
          <w:b/>
          <w:szCs w:val="21"/>
        </w:rPr>
        <w:t>表</w:t>
      </w:r>
      <w:r>
        <w:rPr>
          <w:rFonts w:hint="eastAsia" w:cs="Times New Roman"/>
          <w:b/>
          <w:szCs w:val="21"/>
        </w:rPr>
        <w:t>4</w:t>
      </w:r>
      <w:r>
        <w:rPr>
          <w:rFonts w:cs="Times New Roman"/>
          <w:b/>
          <w:szCs w:val="21"/>
        </w:rPr>
        <w:t>-</w:t>
      </w:r>
      <w:r>
        <w:rPr>
          <w:rFonts w:hint="eastAsia" w:cs="Times New Roman"/>
          <w:b/>
          <w:szCs w:val="21"/>
        </w:rPr>
        <w:t>6</w:t>
      </w:r>
      <w:r>
        <w:rPr>
          <w:rFonts w:cs="Times New Roman"/>
          <w:b/>
          <w:szCs w:val="21"/>
        </w:rPr>
        <w:t xml:space="preserve">  不同规划水平年用水及GDP增幅</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657"/>
        <w:gridCol w:w="1214"/>
        <w:gridCol w:w="1212"/>
        <w:gridCol w:w="902"/>
        <w:gridCol w:w="1301"/>
        <w:gridCol w:w="1212"/>
      </w:tblGrid>
      <w:tr w14:paraId="16E5E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01" w:type="pct"/>
            <w:shd w:val="clear" w:color="auto" w:fill="auto"/>
            <w:noWrap/>
            <w:vAlign w:val="center"/>
          </w:tcPr>
          <w:p w14:paraId="084CBF70">
            <w:pPr>
              <w:widowControl/>
              <w:snapToGrid/>
              <w:spacing w:line="240" w:lineRule="auto"/>
              <w:jc w:val="center"/>
              <w:rPr>
                <w:rFonts w:cs="Times New Roman"/>
                <w:b/>
                <w:bCs/>
                <w:color w:val="000000"/>
                <w:kern w:val="0"/>
                <w:szCs w:val="24"/>
              </w:rPr>
            </w:pPr>
            <w:r>
              <w:rPr>
                <w:rFonts w:cs="Times New Roman"/>
                <w:b/>
                <w:bCs/>
                <w:color w:val="000000"/>
                <w:kern w:val="0"/>
                <w:szCs w:val="24"/>
              </w:rPr>
              <w:t>年份</w:t>
            </w:r>
          </w:p>
        </w:tc>
        <w:tc>
          <w:tcPr>
            <w:tcW w:w="972" w:type="pct"/>
            <w:shd w:val="clear" w:color="auto" w:fill="auto"/>
            <w:noWrap/>
            <w:vAlign w:val="center"/>
          </w:tcPr>
          <w:p w14:paraId="0358DA5F">
            <w:pPr>
              <w:widowControl/>
              <w:snapToGrid/>
              <w:spacing w:line="240" w:lineRule="auto"/>
              <w:jc w:val="center"/>
              <w:rPr>
                <w:rFonts w:cs="Times New Roman"/>
                <w:b/>
                <w:bCs/>
                <w:color w:val="000000"/>
                <w:kern w:val="0"/>
                <w:szCs w:val="24"/>
              </w:rPr>
            </w:pPr>
            <w:r>
              <w:rPr>
                <w:rFonts w:cs="Times New Roman"/>
                <w:b/>
                <w:bCs/>
                <w:color w:val="000000"/>
                <w:kern w:val="0"/>
                <w:szCs w:val="24"/>
              </w:rPr>
              <w:t>用水总量</w:t>
            </w:r>
          </w:p>
        </w:tc>
        <w:tc>
          <w:tcPr>
            <w:tcW w:w="712" w:type="pct"/>
            <w:shd w:val="clear" w:color="auto" w:fill="auto"/>
            <w:noWrap/>
            <w:vAlign w:val="center"/>
          </w:tcPr>
          <w:p w14:paraId="02BE2836">
            <w:pPr>
              <w:widowControl/>
              <w:snapToGrid/>
              <w:spacing w:line="240" w:lineRule="auto"/>
              <w:jc w:val="center"/>
              <w:rPr>
                <w:rFonts w:cs="Times New Roman"/>
                <w:b/>
                <w:bCs/>
                <w:color w:val="000000"/>
                <w:kern w:val="0"/>
                <w:szCs w:val="24"/>
              </w:rPr>
            </w:pPr>
            <w:r>
              <w:rPr>
                <w:rFonts w:cs="Times New Roman"/>
                <w:b/>
                <w:bCs/>
                <w:color w:val="000000"/>
                <w:kern w:val="0"/>
                <w:szCs w:val="24"/>
              </w:rPr>
              <w:t>用水降低</w:t>
            </w:r>
          </w:p>
        </w:tc>
        <w:tc>
          <w:tcPr>
            <w:tcW w:w="711" w:type="pct"/>
            <w:shd w:val="clear" w:color="auto" w:fill="auto"/>
            <w:noWrap/>
            <w:vAlign w:val="center"/>
          </w:tcPr>
          <w:p w14:paraId="54194DD9">
            <w:pPr>
              <w:widowControl/>
              <w:snapToGrid/>
              <w:spacing w:line="240" w:lineRule="auto"/>
              <w:jc w:val="center"/>
              <w:rPr>
                <w:rFonts w:cs="Times New Roman"/>
                <w:b/>
                <w:bCs/>
                <w:color w:val="000000"/>
                <w:kern w:val="0"/>
                <w:szCs w:val="24"/>
              </w:rPr>
            </w:pPr>
            <w:r>
              <w:rPr>
                <w:rFonts w:cs="Times New Roman"/>
                <w:b/>
                <w:bCs/>
                <w:color w:val="000000"/>
                <w:kern w:val="0"/>
                <w:szCs w:val="24"/>
              </w:rPr>
              <w:t>百分比%</w:t>
            </w:r>
          </w:p>
        </w:tc>
        <w:tc>
          <w:tcPr>
            <w:tcW w:w="529" w:type="pct"/>
            <w:shd w:val="clear" w:color="auto" w:fill="auto"/>
            <w:noWrap/>
            <w:vAlign w:val="center"/>
          </w:tcPr>
          <w:p w14:paraId="69CC5A72">
            <w:pPr>
              <w:widowControl/>
              <w:snapToGrid/>
              <w:spacing w:line="240" w:lineRule="auto"/>
              <w:jc w:val="center"/>
              <w:rPr>
                <w:rFonts w:cs="Times New Roman"/>
                <w:b/>
                <w:bCs/>
                <w:color w:val="000000"/>
                <w:kern w:val="0"/>
                <w:szCs w:val="24"/>
              </w:rPr>
            </w:pPr>
            <w:r>
              <w:rPr>
                <w:rFonts w:cs="Times New Roman"/>
                <w:b/>
                <w:bCs/>
                <w:color w:val="000000"/>
                <w:kern w:val="0"/>
                <w:szCs w:val="24"/>
              </w:rPr>
              <w:t>GDP</w:t>
            </w:r>
          </w:p>
        </w:tc>
        <w:tc>
          <w:tcPr>
            <w:tcW w:w="763" w:type="pct"/>
            <w:shd w:val="clear" w:color="auto" w:fill="auto"/>
            <w:noWrap/>
            <w:vAlign w:val="center"/>
          </w:tcPr>
          <w:p w14:paraId="5FB6A55F">
            <w:pPr>
              <w:widowControl/>
              <w:snapToGrid/>
              <w:spacing w:line="240" w:lineRule="auto"/>
              <w:jc w:val="center"/>
              <w:rPr>
                <w:rFonts w:cs="Times New Roman"/>
                <w:b/>
                <w:bCs/>
                <w:color w:val="000000"/>
                <w:kern w:val="0"/>
                <w:szCs w:val="24"/>
              </w:rPr>
            </w:pPr>
            <w:r>
              <w:rPr>
                <w:rFonts w:cs="Times New Roman"/>
                <w:b/>
                <w:bCs/>
                <w:color w:val="000000"/>
                <w:kern w:val="0"/>
                <w:szCs w:val="24"/>
              </w:rPr>
              <w:t>GDP增加</w:t>
            </w:r>
          </w:p>
        </w:tc>
        <w:tc>
          <w:tcPr>
            <w:tcW w:w="711" w:type="pct"/>
            <w:shd w:val="clear" w:color="auto" w:fill="auto"/>
            <w:noWrap/>
            <w:vAlign w:val="center"/>
          </w:tcPr>
          <w:p w14:paraId="7CF3252B">
            <w:pPr>
              <w:widowControl/>
              <w:snapToGrid/>
              <w:spacing w:line="240" w:lineRule="auto"/>
              <w:jc w:val="center"/>
              <w:rPr>
                <w:rFonts w:cs="Times New Roman"/>
                <w:b/>
                <w:bCs/>
                <w:color w:val="000000"/>
                <w:kern w:val="0"/>
                <w:szCs w:val="24"/>
              </w:rPr>
            </w:pPr>
            <w:r>
              <w:rPr>
                <w:rFonts w:cs="Times New Roman"/>
                <w:b/>
                <w:bCs/>
                <w:color w:val="000000"/>
                <w:kern w:val="0"/>
                <w:szCs w:val="24"/>
              </w:rPr>
              <w:t>百分比%</w:t>
            </w:r>
          </w:p>
        </w:tc>
      </w:tr>
      <w:tr w14:paraId="0982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01" w:type="pct"/>
            <w:shd w:val="clear" w:color="auto" w:fill="auto"/>
            <w:noWrap/>
            <w:vAlign w:val="center"/>
          </w:tcPr>
          <w:p w14:paraId="0CB16506">
            <w:pPr>
              <w:widowControl/>
              <w:snapToGrid/>
              <w:spacing w:line="240" w:lineRule="auto"/>
              <w:jc w:val="center"/>
              <w:rPr>
                <w:rFonts w:cs="Times New Roman"/>
                <w:color w:val="000000"/>
                <w:kern w:val="0"/>
                <w:szCs w:val="24"/>
              </w:rPr>
            </w:pPr>
            <w:r>
              <w:rPr>
                <w:rFonts w:cs="Times New Roman"/>
                <w:color w:val="000000"/>
                <w:kern w:val="0"/>
                <w:szCs w:val="24"/>
              </w:rPr>
              <w:t>现状年</w:t>
            </w:r>
          </w:p>
        </w:tc>
        <w:tc>
          <w:tcPr>
            <w:tcW w:w="972" w:type="pct"/>
            <w:shd w:val="clear" w:color="auto" w:fill="auto"/>
            <w:noWrap/>
          </w:tcPr>
          <w:p w14:paraId="0C7D6110">
            <w:pPr>
              <w:widowControl/>
              <w:snapToGrid/>
              <w:spacing w:line="240" w:lineRule="auto"/>
              <w:jc w:val="center"/>
              <w:rPr>
                <w:rFonts w:cs="Times New Roman"/>
                <w:color w:val="000000"/>
                <w:kern w:val="0"/>
                <w:szCs w:val="24"/>
              </w:rPr>
            </w:pPr>
            <w:r>
              <w:t>9770.98</w:t>
            </w:r>
          </w:p>
        </w:tc>
        <w:tc>
          <w:tcPr>
            <w:tcW w:w="712" w:type="pct"/>
            <w:shd w:val="clear" w:color="auto" w:fill="auto"/>
            <w:noWrap/>
          </w:tcPr>
          <w:p w14:paraId="41015A09">
            <w:pPr>
              <w:widowControl/>
              <w:snapToGrid/>
              <w:spacing w:line="240" w:lineRule="auto"/>
              <w:jc w:val="center"/>
              <w:rPr>
                <w:rFonts w:cs="Times New Roman"/>
                <w:color w:val="000000"/>
                <w:kern w:val="0"/>
                <w:szCs w:val="24"/>
              </w:rPr>
            </w:pPr>
            <w:r>
              <w:t>0</w:t>
            </w:r>
          </w:p>
        </w:tc>
        <w:tc>
          <w:tcPr>
            <w:tcW w:w="711" w:type="pct"/>
            <w:shd w:val="clear" w:color="auto" w:fill="auto"/>
            <w:noWrap/>
          </w:tcPr>
          <w:p w14:paraId="6BE7E016">
            <w:pPr>
              <w:widowControl/>
              <w:snapToGrid/>
              <w:spacing w:line="240" w:lineRule="auto"/>
              <w:jc w:val="center"/>
              <w:rPr>
                <w:rFonts w:cs="Times New Roman"/>
                <w:color w:val="000000"/>
                <w:kern w:val="0"/>
                <w:szCs w:val="24"/>
              </w:rPr>
            </w:pPr>
            <w:r>
              <w:t>0</w:t>
            </w:r>
          </w:p>
        </w:tc>
        <w:tc>
          <w:tcPr>
            <w:tcW w:w="529" w:type="pct"/>
            <w:shd w:val="clear" w:color="auto" w:fill="auto"/>
            <w:noWrap/>
          </w:tcPr>
          <w:p w14:paraId="398C9D82">
            <w:pPr>
              <w:widowControl/>
              <w:snapToGrid/>
              <w:spacing w:line="240" w:lineRule="auto"/>
              <w:jc w:val="center"/>
              <w:rPr>
                <w:rFonts w:cs="Times New Roman"/>
                <w:color w:val="000000"/>
                <w:kern w:val="0"/>
                <w:szCs w:val="24"/>
              </w:rPr>
            </w:pPr>
            <w:r>
              <w:t>351.58</w:t>
            </w:r>
          </w:p>
        </w:tc>
        <w:tc>
          <w:tcPr>
            <w:tcW w:w="763" w:type="pct"/>
            <w:shd w:val="clear" w:color="auto" w:fill="auto"/>
            <w:noWrap/>
          </w:tcPr>
          <w:p w14:paraId="62836542">
            <w:pPr>
              <w:widowControl/>
              <w:snapToGrid/>
              <w:spacing w:line="240" w:lineRule="auto"/>
              <w:jc w:val="center"/>
              <w:rPr>
                <w:rFonts w:cs="Times New Roman"/>
                <w:color w:val="000000"/>
                <w:kern w:val="0"/>
                <w:szCs w:val="24"/>
              </w:rPr>
            </w:pPr>
            <w:r>
              <w:t>——</w:t>
            </w:r>
          </w:p>
        </w:tc>
        <w:tc>
          <w:tcPr>
            <w:tcW w:w="711" w:type="pct"/>
            <w:shd w:val="clear" w:color="auto" w:fill="auto"/>
            <w:noWrap/>
          </w:tcPr>
          <w:p w14:paraId="65D0776E">
            <w:pPr>
              <w:widowControl/>
              <w:snapToGrid/>
              <w:spacing w:line="240" w:lineRule="auto"/>
              <w:jc w:val="center"/>
              <w:rPr>
                <w:rFonts w:cs="Times New Roman"/>
                <w:color w:val="000000"/>
                <w:kern w:val="0"/>
                <w:szCs w:val="24"/>
              </w:rPr>
            </w:pPr>
            <w:r>
              <w:t>0</w:t>
            </w:r>
          </w:p>
        </w:tc>
      </w:tr>
      <w:tr w14:paraId="7A274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01" w:type="pct"/>
            <w:shd w:val="clear" w:color="auto" w:fill="auto"/>
            <w:noWrap/>
            <w:vAlign w:val="center"/>
          </w:tcPr>
          <w:p w14:paraId="74DC6D65">
            <w:pPr>
              <w:widowControl/>
              <w:snapToGrid/>
              <w:spacing w:line="240" w:lineRule="auto"/>
              <w:jc w:val="center"/>
              <w:rPr>
                <w:rFonts w:cs="Times New Roman"/>
                <w:color w:val="000000"/>
                <w:kern w:val="0"/>
                <w:szCs w:val="24"/>
              </w:rPr>
            </w:pPr>
            <w:r>
              <w:rPr>
                <w:rFonts w:cs="Times New Roman"/>
                <w:color w:val="000000"/>
                <w:kern w:val="0"/>
                <w:szCs w:val="24"/>
              </w:rPr>
              <w:t>2035年</w:t>
            </w:r>
          </w:p>
        </w:tc>
        <w:tc>
          <w:tcPr>
            <w:tcW w:w="972" w:type="pct"/>
            <w:shd w:val="clear" w:color="auto" w:fill="auto"/>
            <w:noWrap/>
          </w:tcPr>
          <w:p w14:paraId="475DB500">
            <w:pPr>
              <w:widowControl/>
              <w:snapToGrid/>
              <w:spacing w:line="240" w:lineRule="auto"/>
              <w:jc w:val="center"/>
              <w:rPr>
                <w:rFonts w:cs="Times New Roman"/>
                <w:color w:val="000000"/>
                <w:kern w:val="0"/>
                <w:szCs w:val="24"/>
              </w:rPr>
            </w:pPr>
            <w:r>
              <w:t>10013.70</w:t>
            </w:r>
          </w:p>
        </w:tc>
        <w:tc>
          <w:tcPr>
            <w:tcW w:w="712" w:type="pct"/>
            <w:shd w:val="clear" w:color="auto" w:fill="auto"/>
            <w:noWrap/>
          </w:tcPr>
          <w:p w14:paraId="70F59DD5">
            <w:pPr>
              <w:widowControl/>
              <w:snapToGrid/>
              <w:spacing w:line="240" w:lineRule="auto"/>
              <w:jc w:val="center"/>
              <w:rPr>
                <w:rFonts w:cs="Times New Roman"/>
                <w:color w:val="000000"/>
                <w:kern w:val="0"/>
                <w:szCs w:val="24"/>
              </w:rPr>
            </w:pPr>
            <w:r>
              <w:t>-242.71</w:t>
            </w:r>
          </w:p>
        </w:tc>
        <w:tc>
          <w:tcPr>
            <w:tcW w:w="711" w:type="pct"/>
            <w:shd w:val="clear" w:color="auto" w:fill="auto"/>
            <w:noWrap/>
          </w:tcPr>
          <w:p w14:paraId="19B4F69B">
            <w:pPr>
              <w:widowControl/>
              <w:snapToGrid/>
              <w:spacing w:line="240" w:lineRule="auto"/>
              <w:jc w:val="center"/>
              <w:rPr>
                <w:rFonts w:cs="Times New Roman"/>
                <w:color w:val="000000"/>
                <w:kern w:val="0"/>
                <w:szCs w:val="24"/>
              </w:rPr>
            </w:pPr>
            <w:r>
              <w:t>-2.48</w:t>
            </w:r>
          </w:p>
        </w:tc>
        <w:tc>
          <w:tcPr>
            <w:tcW w:w="529" w:type="pct"/>
            <w:shd w:val="clear" w:color="auto" w:fill="auto"/>
            <w:noWrap/>
          </w:tcPr>
          <w:p w14:paraId="4E656675">
            <w:pPr>
              <w:widowControl/>
              <w:snapToGrid/>
              <w:spacing w:line="240" w:lineRule="auto"/>
              <w:jc w:val="center"/>
              <w:rPr>
                <w:rFonts w:cs="Times New Roman"/>
                <w:color w:val="000000"/>
                <w:kern w:val="0"/>
                <w:szCs w:val="24"/>
              </w:rPr>
            </w:pPr>
            <w:r>
              <w:t>365</w:t>
            </w:r>
          </w:p>
        </w:tc>
        <w:tc>
          <w:tcPr>
            <w:tcW w:w="763" w:type="pct"/>
            <w:shd w:val="clear" w:color="auto" w:fill="auto"/>
            <w:noWrap/>
          </w:tcPr>
          <w:p w14:paraId="231881A7">
            <w:pPr>
              <w:widowControl/>
              <w:snapToGrid/>
              <w:spacing w:line="240" w:lineRule="auto"/>
              <w:jc w:val="center"/>
              <w:rPr>
                <w:rFonts w:cs="Times New Roman"/>
                <w:color w:val="000000"/>
                <w:kern w:val="0"/>
                <w:szCs w:val="24"/>
              </w:rPr>
            </w:pPr>
            <w:r>
              <w:t>13.42</w:t>
            </w:r>
          </w:p>
        </w:tc>
        <w:tc>
          <w:tcPr>
            <w:tcW w:w="711" w:type="pct"/>
            <w:shd w:val="clear" w:color="auto" w:fill="auto"/>
            <w:noWrap/>
          </w:tcPr>
          <w:p w14:paraId="7E32B3C3">
            <w:pPr>
              <w:widowControl/>
              <w:snapToGrid/>
              <w:spacing w:line="240" w:lineRule="auto"/>
              <w:jc w:val="center"/>
              <w:rPr>
                <w:rFonts w:cs="Times New Roman"/>
                <w:color w:val="000000"/>
                <w:kern w:val="0"/>
                <w:szCs w:val="24"/>
              </w:rPr>
            </w:pPr>
            <w:r>
              <w:t>3.82</w:t>
            </w:r>
          </w:p>
        </w:tc>
      </w:tr>
    </w:tbl>
    <w:p w14:paraId="1F8CE33B">
      <w:pPr>
        <w:widowControl/>
        <w:adjustRightInd w:val="0"/>
        <w:spacing w:before="156" w:beforeLines="50"/>
        <w:ind w:firstLine="560" w:firstLineChars="200"/>
        <w:rPr>
          <w:rFonts w:cs="Times New Roman"/>
          <w:sz w:val="28"/>
          <w:szCs w:val="28"/>
        </w:rPr>
      </w:pPr>
      <w:bookmarkStart w:id="93" w:name="_Hlk44409130"/>
      <w:r>
        <w:rPr>
          <w:rFonts w:cs="Times New Roman"/>
          <w:sz w:val="28"/>
          <w:szCs w:val="28"/>
        </w:rPr>
        <w:t>从用水结构分析，“三生”用水比例由现状年（202</w:t>
      </w:r>
      <w:r>
        <w:rPr>
          <w:rFonts w:hint="eastAsia" w:cs="Times New Roman"/>
          <w:sz w:val="28"/>
          <w:szCs w:val="28"/>
        </w:rPr>
        <w:t>3</w:t>
      </w:r>
      <w:r>
        <w:rPr>
          <w:rFonts w:cs="Times New Roman"/>
          <w:sz w:val="28"/>
          <w:szCs w:val="28"/>
        </w:rPr>
        <w:t>年）的5.92</w:t>
      </w:r>
      <w:r>
        <w:rPr>
          <w:rFonts w:hint="eastAsia" w:cs="Times New Roman"/>
          <w:sz w:val="28"/>
          <w:szCs w:val="28"/>
        </w:rPr>
        <w:t>：</w:t>
      </w:r>
      <w:r>
        <w:rPr>
          <w:rFonts w:cs="Times New Roman"/>
          <w:sz w:val="28"/>
          <w:szCs w:val="28"/>
        </w:rPr>
        <w:t>92.28</w:t>
      </w:r>
      <w:r>
        <w:rPr>
          <w:rFonts w:hint="eastAsia" w:cs="Times New Roman"/>
          <w:sz w:val="28"/>
          <w:szCs w:val="28"/>
        </w:rPr>
        <w:t>：</w:t>
      </w:r>
      <w:r>
        <w:rPr>
          <w:rFonts w:cs="Times New Roman"/>
          <w:sz w:val="28"/>
          <w:szCs w:val="28"/>
        </w:rPr>
        <w:t>1.81变为20</w:t>
      </w:r>
      <w:r>
        <w:rPr>
          <w:rFonts w:hint="eastAsia" w:cs="Times New Roman"/>
          <w:sz w:val="28"/>
          <w:szCs w:val="28"/>
        </w:rPr>
        <w:t>35</w:t>
      </w:r>
      <w:r>
        <w:rPr>
          <w:rFonts w:cs="Times New Roman"/>
          <w:sz w:val="28"/>
          <w:szCs w:val="28"/>
        </w:rPr>
        <w:t>年的8.08</w:t>
      </w:r>
      <w:r>
        <w:rPr>
          <w:rFonts w:hint="eastAsia" w:cs="Times New Roman"/>
          <w:sz w:val="28"/>
          <w:szCs w:val="28"/>
        </w:rPr>
        <w:t>：</w:t>
      </w:r>
      <w:r>
        <w:rPr>
          <w:rFonts w:cs="Times New Roman"/>
          <w:sz w:val="28"/>
          <w:szCs w:val="28"/>
        </w:rPr>
        <w:t>89.84</w:t>
      </w:r>
      <w:r>
        <w:rPr>
          <w:rFonts w:hint="eastAsia" w:cs="Times New Roman"/>
          <w:sz w:val="28"/>
          <w:szCs w:val="28"/>
        </w:rPr>
        <w:t>：</w:t>
      </w:r>
      <w:r>
        <w:rPr>
          <w:rFonts w:cs="Times New Roman"/>
          <w:sz w:val="28"/>
          <w:szCs w:val="28"/>
        </w:rPr>
        <w:t>2.09。</w:t>
      </w:r>
      <w:bookmarkEnd w:id="93"/>
      <w:r>
        <w:rPr>
          <w:rFonts w:hint="eastAsia" w:cs="Times New Roman"/>
          <w:sz w:val="28"/>
          <w:szCs w:val="28"/>
        </w:rPr>
        <w:t>其中</w:t>
      </w:r>
      <w:r>
        <w:rPr>
          <w:rFonts w:cs="Times New Roman"/>
          <w:sz w:val="28"/>
          <w:szCs w:val="28"/>
        </w:rPr>
        <w:t>生活</w:t>
      </w:r>
      <w:r>
        <w:rPr>
          <w:rFonts w:hint="eastAsia" w:cs="Times New Roman"/>
          <w:sz w:val="28"/>
          <w:szCs w:val="28"/>
        </w:rPr>
        <w:t>用水有所增加，生产用水略有下降，</w:t>
      </w:r>
      <w:r>
        <w:rPr>
          <w:rFonts w:cs="Times New Roman"/>
          <w:sz w:val="28"/>
          <w:szCs w:val="28"/>
        </w:rPr>
        <w:t>生态用水</w:t>
      </w:r>
      <w:r>
        <w:rPr>
          <w:rFonts w:hint="eastAsia" w:cs="Times New Roman"/>
          <w:sz w:val="28"/>
          <w:szCs w:val="28"/>
        </w:rPr>
        <w:t>增加</w:t>
      </w:r>
      <w:r>
        <w:rPr>
          <w:rFonts w:cs="Times New Roman"/>
          <w:sz w:val="28"/>
          <w:szCs w:val="28"/>
        </w:rPr>
        <w:t>，整体上</w:t>
      </w:r>
      <w:r>
        <w:rPr>
          <w:rFonts w:hint="eastAsia" w:cs="Times New Roman"/>
          <w:sz w:val="28"/>
          <w:szCs w:val="28"/>
        </w:rPr>
        <w:t>维持</w:t>
      </w:r>
      <w:r>
        <w:rPr>
          <w:rFonts w:cs="Times New Roman"/>
          <w:sz w:val="28"/>
          <w:szCs w:val="28"/>
        </w:rPr>
        <w:t>优化用水结构</w:t>
      </w:r>
      <w:r>
        <w:rPr>
          <w:rFonts w:hint="eastAsia" w:cs="Times New Roman"/>
          <w:sz w:val="28"/>
          <w:szCs w:val="28"/>
        </w:rPr>
        <w:t>比较</w:t>
      </w:r>
      <w:r>
        <w:rPr>
          <w:rFonts w:cs="Times New Roman"/>
          <w:sz w:val="28"/>
          <w:szCs w:val="28"/>
        </w:rPr>
        <w:t>合理。分析结果详见表</w:t>
      </w:r>
      <w:r>
        <w:rPr>
          <w:rFonts w:hint="eastAsia" w:cs="Times New Roman"/>
          <w:sz w:val="28"/>
          <w:szCs w:val="28"/>
        </w:rPr>
        <w:t>4-7。</w:t>
      </w:r>
    </w:p>
    <w:p w14:paraId="7AF60640">
      <w:pPr>
        <w:adjustRightInd w:val="0"/>
        <w:spacing w:line="240" w:lineRule="auto"/>
        <w:jc w:val="center"/>
        <w:rPr>
          <w:rFonts w:cs="Times New Roman"/>
          <w:b/>
          <w:szCs w:val="21"/>
        </w:rPr>
      </w:pPr>
      <w:r>
        <w:rPr>
          <w:rFonts w:cs="Times New Roman"/>
          <w:b/>
          <w:szCs w:val="21"/>
        </w:rPr>
        <w:t>表</w:t>
      </w:r>
      <w:r>
        <w:rPr>
          <w:rFonts w:hint="eastAsia" w:cs="Times New Roman"/>
          <w:b/>
          <w:szCs w:val="21"/>
        </w:rPr>
        <w:t>4-7</w:t>
      </w:r>
      <w:r>
        <w:rPr>
          <w:rFonts w:cs="Times New Roman"/>
          <w:b/>
          <w:szCs w:val="21"/>
        </w:rPr>
        <w:t xml:space="preserve">  九原区不同水平年不同行业用水结构比较表  单位：%</w:t>
      </w:r>
    </w:p>
    <w:tbl>
      <w:tblPr>
        <w:tblStyle w:val="19"/>
        <w:tblW w:w="5000" w:type="pct"/>
        <w:tblInd w:w="0" w:type="dxa"/>
        <w:tblLayout w:type="autofit"/>
        <w:tblCellMar>
          <w:top w:w="0" w:type="dxa"/>
          <w:left w:w="108" w:type="dxa"/>
          <w:bottom w:w="0" w:type="dxa"/>
          <w:right w:w="108" w:type="dxa"/>
        </w:tblCellMar>
      </w:tblPr>
      <w:tblGrid>
        <w:gridCol w:w="3541"/>
        <w:gridCol w:w="1570"/>
        <w:gridCol w:w="1841"/>
        <w:gridCol w:w="1570"/>
      </w:tblGrid>
      <w:tr w14:paraId="7244EFDD">
        <w:tblPrEx>
          <w:tblCellMar>
            <w:top w:w="0" w:type="dxa"/>
            <w:left w:w="108" w:type="dxa"/>
            <w:bottom w:w="0" w:type="dxa"/>
            <w:right w:w="108" w:type="dxa"/>
          </w:tblCellMar>
        </w:tblPrEx>
        <w:trPr>
          <w:trHeight w:val="285" w:hRule="atLeast"/>
        </w:trPr>
        <w:tc>
          <w:tcPr>
            <w:tcW w:w="207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474AA60">
            <w:pPr>
              <w:widowControl/>
              <w:adjustRightInd w:val="0"/>
              <w:spacing w:line="240" w:lineRule="auto"/>
              <w:jc w:val="center"/>
              <w:rPr>
                <w:rFonts w:cs="Times New Roman"/>
                <w:b/>
                <w:bCs/>
                <w:color w:val="000000"/>
                <w:kern w:val="0"/>
                <w:szCs w:val="24"/>
              </w:rPr>
            </w:pPr>
            <w:r>
              <w:rPr>
                <w:rFonts w:hint="eastAsia" w:cs="Times New Roman"/>
                <w:b/>
                <w:bCs/>
                <w:color w:val="000000"/>
                <w:kern w:val="0"/>
                <w:szCs w:val="24"/>
              </w:rPr>
              <w:t>年份</w:t>
            </w:r>
          </w:p>
        </w:tc>
        <w:tc>
          <w:tcPr>
            <w:tcW w:w="2922" w:type="pct"/>
            <w:gridSpan w:val="3"/>
            <w:tcBorders>
              <w:top w:val="single" w:color="auto" w:sz="4" w:space="0"/>
              <w:left w:val="nil"/>
              <w:bottom w:val="single" w:color="auto" w:sz="4" w:space="0"/>
              <w:right w:val="single" w:color="auto" w:sz="4" w:space="0"/>
            </w:tcBorders>
            <w:shd w:val="clear" w:color="auto" w:fill="auto"/>
            <w:noWrap/>
            <w:vAlign w:val="center"/>
          </w:tcPr>
          <w:p w14:paraId="0AB8E564">
            <w:pPr>
              <w:widowControl/>
              <w:adjustRightInd w:val="0"/>
              <w:spacing w:line="240" w:lineRule="auto"/>
              <w:jc w:val="center"/>
              <w:rPr>
                <w:rFonts w:cs="Times New Roman"/>
                <w:b/>
                <w:bCs/>
                <w:color w:val="000000"/>
                <w:kern w:val="0"/>
                <w:szCs w:val="24"/>
              </w:rPr>
            </w:pPr>
            <w:r>
              <w:rPr>
                <w:rFonts w:hint="eastAsia" w:cs="Times New Roman"/>
                <w:b/>
                <w:bCs/>
                <w:color w:val="000000"/>
                <w:kern w:val="0"/>
                <w:szCs w:val="24"/>
              </w:rPr>
              <w:t>三生用水比例</w:t>
            </w:r>
          </w:p>
        </w:tc>
      </w:tr>
      <w:tr w14:paraId="31D2341D">
        <w:tblPrEx>
          <w:tblCellMar>
            <w:top w:w="0" w:type="dxa"/>
            <w:left w:w="108" w:type="dxa"/>
            <w:bottom w:w="0" w:type="dxa"/>
            <w:right w:w="108" w:type="dxa"/>
          </w:tblCellMar>
        </w:tblPrEx>
        <w:trPr>
          <w:trHeight w:val="285" w:hRule="atLeast"/>
        </w:trPr>
        <w:tc>
          <w:tcPr>
            <w:tcW w:w="2078" w:type="pct"/>
            <w:vMerge w:val="continue"/>
            <w:tcBorders>
              <w:top w:val="single" w:color="auto" w:sz="4" w:space="0"/>
              <w:left w:val="single" w:color="auto" w:sz="4" w:space="0"/>
              <w:bottom w:val="single" w:color="auto" w:sz="4" w:space="0"/>
              <w:right w:val="single" w:color="auto" w:sz="4" w:space="0"/>
            </w:tcBorders>
            <w:vAlign w:val="center"/>
          </w:tcPr>
          <w:p w14:paraId="59B2D683">
            <w:pPr>
              <w:widowControl/>
              <w:adjustRightInd w:val="0"/>
              <w:spacing w:line="240" w:lineRule="auto"/>
              <w:jc w:val="center"/>
              <w:rPr>
                <w:rFonts w:cs="Times New Roman"/>
                <w:b/>
                <w:bCs/>
                <w:color w:val="000000"/>
                <w:kern w:val="0"/>
                <w:szCs w:val="24"/>
              </w:rPr>
            </w:pPr>
          </w:p>
        </w:tc>
        <w:tc>
          <w:tcPr>
            <w:tcW w:w="921" w:type="pct"/>
            <w:tcBorders>
              <w:top w:val="nil"/>
              <w:left w:val="nil"/>
              <w:bottom w:val="single" w:color="auto" w:sz="4" w:space="0"/>
              <w:right w:val="single" w:color="auto" w:sz="4" w:space="0"/>
            </w:tcBorders>
            <w:shd w:val="clear" w:color="auto" w:fill="auto"/>
            <w:noWrap/>
            <w:vAlign w:val="center"/>
          </w:tcPr>
          <w:p w14:paraId="3CDC48B7">
            <w:pPr>
              <w:widowControl/>
              <w:adjustRightInd w:val="0"/>
              <w:spacing w:line="240" w:lineRule="auto"/>
              <w:jc w:val="center"/>
              <w:rPr>
                <w:rFonts w:cs="Times New Roman"/>
                <w:b/>
                <w:bCs/>
                <w:color w:val="000000"/>
                <w:kern w:val="0"/>
                <w:szCs w:val="24"/>
              </w:rPr>
            </w:pPr>
            <w:r>
              <w:rPr>
                <w:rFonts w:hint="eastAsia" w:cs="Times New Roman"/>
                <w:b/>
                <w:bCs/>
                <w:color w:val="000000"/>
                <w:kern w:val="0"/>
                <w:szCs w:val="24"/>
              </w:rPr>
              <w:t>生活</w:t>
            </w:r>
          </w:p>
        </w:tc>
        <w:tc>
          <w:tcPr>
            <w:tcW w:w="1080" w:type="pct"/>
            <w:tcBorders>
              <w:top w:val="nil"/>
              <w:left w:val="nil"/>
              <w:bottom w:val="single" w:color="auto" w:sz="4" w:space="0"/>
              <w:right w:val="single" w:color="auto" w:sz="4" w:space="0"/>
            </w:tcBorders>
            <w:shd w:val="clear" w:color="auto" w:fill="auto"/>
            <w:noWrap/>
            <w:vAlign w:val="center"/>
          </w:tcPr>
          <w:p w14:paraId="69DE6840">
            <w:pPr>
              <w:widowControl/>
              <w:adjustRightInd w:val="0"/>
              <w:spacing w:line="240" w:lineRule="auto"/>
              <w:jc w:val="center"/>
              <w:rPr>
                <w:rFonts w:cs="Times New Roman"/>
                <w:b/>
                <w:bCs/>
                <w:color w:val="000000"/>
                <w:kern w:val="0"/>
                <w:szCs w:val="24"/>
              </w:rPr>
            </w:pPr>
            <w:r>
              <w:rPr>
                <w:rFonts w:hint="eastAsia" w:cs="Times New Roman"/>
                <w:b/>
                <w:bCs/>
                <w:color w:val="000000"/>
                <w:kern w:val="0"/>
                <w:szCs w:val="24"/>
              </w:rPr>
              <w:t>生产</w:t>
            </w:r>
          </w:p>
        </w:tc>
        <w:tc>
          <w:tcPr>
            <w:tcW w:w="921" w:type="pct"/>
            <w:tcBorders>
              <w:top w:val="nil"/>
              <w:left w:val="nil"/>
              <w:bottom w:val="single" w:color="auto" w:sz="4" w:space="0"/>
              <w:right w:val="single" w:color="auto" w:sz="4" w:space="0"/>
            </w:tcBorders>
            <w:shd w:val="clear" w:color="auto" w:fill="auto"/>
            <w:noWrap/>
            <w:vAlign w:val="center"/>
          </w:tcPr>
          <w:p w14:paraId="14523BF0">
            <w:pPr>
              <w:widowControl/>
              <w:adjustRightInd w:val="0"/>
              <w:spacing w:line="240" w:lineRule="auto"/>
              <w:jc w:val="center"/>
              <w:rPr>
                <w:rFonts w:cs="Times New Roman"/>
                <w:b/>
                <w:bCs/>
                <w:color w:val="000000"/>
                <w:kern w:val="0"/>
                <w:szCs w:val="24"/>
              </w:rPr>
            </w:pPr>
            <w:r>
              <w:rPr>
                <w:rFonts w:hint="eastAsia" w:cs="Times New Roman"/>
                <w:b/>
                <w:bCs/>
                <w:color w:val="000000"/>
                <w:kern w:val="0"/>
                <w:szCs w:val="24"/>
              </w:rPr>
              <w:t>生态</w:t>
            </w:r>
          </w:p>
        </w:tc>
      </w:tr>
      <w:tr w14:paraId="3844D15D">
        <w:tblPrEx>
          <w:tblCellMar>
            <w:top w:w="0" w:type="dxa"/>
            <w:left w:w="108" w:type="dxa"/>
            <w:bottom w:w="0" w:type="dxa"/>
            <w:right w:w="108" w:type="dxa"/>
          </w:tblCellMar>
        </w:tblPrEx>
        <w:trPr>
          <w:trHeight w:val="285" w:hRule="atLeast"/>
        </w:trPr>
        <w:tc>
          <w:tcPr>
            <w:tcW w:w="2078" w:type="pct"/>
            <w:tcBorders>
              <w:top w:val="nil"/>
              <w:left w:val="single" w:color="auto" w:sz="4" w:space="0"/>
              <w:bottom w:val="single" w:color="auto" w:sz="4" w:space="0"/>
              <w:right w:val="single" w:color="auto" w:sz="4" w:space="0"/>
            </w:tcBorders>
            <w:shd w:val="clear" w:color="auto" w:fill="auto"/>
            <w:noWrap/>
            <w:vAlign w:val="center"/>
          </w:tcPr>
          <w:p w14:paraId="682612C7">
            <w:pPr>
              <w:widowControl/>
              <w:adjustRightInd w:val="0"/>
              <w:spacing w:line="240" w:lineRule="auto"/>
              <w:jc w:val="center"/>
              <w:rPr>
                <w:rFonts w:cs="Times New Roman"/>
                <w:color w:val="000000"/>
                <w:kern w:val="0"/>
                <w:szCs w:val="24"/>
              </w:rPr>
            </w:pPr>
            <w:r>
              <w:rPr>
                <w:rFonts w:hint="eastAsia" w:cs="Times New Roman"/>
                <w:color w:val="000000"/>
                <w:kern w:val="0"/>
                <w:szCs w:val="24"/>
              </w:rPr>
              <w:t>现状年</w:t>
            </w:r>
          </w:p>
        </w:tc>
        <w:tc>
          <w:tcPr>
            <w:tcW w:w="921" w:type="pct"/>
            <w:tcBorders>
              <w:top w:val="nil"/>
              <w:left w:val="nil"/>
              <w:bottom w:val="single" w:color="auto" w:sz="4" w:space="0"/>
              <w:right w:val="single" w:color="auto" w:sz="4" w:space="0"/>
            </w:tcBorders>
            <w:shd w:val="clear" w:color="auto" w:fill="auto"/>
            <w:noWrap/>
          </w:tcPr>
          <w:p w14:paraId="17AB38C2">
            <w:pPr>
              <w:widowControl/>
              <w:adjustRightInd w:val="0"/>
              <w:spacing w:line="240" w:lineRule="auto"/>
              <w:jc w:val="center"/>
              <w:rPr>
                <w:rFonts w:cs="Times New Roman"/>
                <w:color w:val="000000"/>
                <w:kern w:val="0"/>
                <w:szCs w:val="24"/>
              </w:rPr>
            </w:pPr>
            <w:r>
              <w:t>570.27</w:t>
            </w:r>
          </w:p>
        </w:tc>
        <w:tc>
          <w:tcPr>
            <w:tcW w:w="1080" w:type="pct"/>
            <w:tcBorders>
              <w:top w:val="nil"/>
              <w:left w:val="nil"/>
              <w:bottom w:val="single" w:color="auto" w:sz="4" w:space="0"/>
              <w:right w:val="single" w:color="auto" w:sz="4" w:space="0"/>
            </w:tcBorders>
            <w:shd w:val="clear" w:color="auto" w:fill="auto"/>
            <w:noWrap/>
          </w:tcPr>
          <w:p w14:paraId="1EAD2380">
            <w:pPr>
              <w:widowControl/>
              <w:adjustRightInd w:val="0"/>
              <w:spacing w:line="240" w:lineRule="auto"/>
              <w:jc w:val="center"/>
              <w:rPr>
                <w:rFonts w:cs="Times New Roman"/>
                <w:color w:val="000000"/>
                <w:kern w:val="0"/>
                <w:szCs w:val="24"/>
              </w:rPr>
            </w:pPr>
            <w:r>
              <w:t>8890.71</w:t>
            </w:r>
          </w:p>
        </w:tc>
        <w:tc>
          <w:tcPr>
            <w:tcW w:w="921" w:type="pct"/>
            <w:tcBorders>
              <w:top w:val="nil"/>
              <w:left w:val="nil"/>
              <w:bottom w:val="single" w:color="auto" w:sz="4" w:space="0"/>
              <w:right w:val="single" w:color="auto" w:sz="4" w:space="0"/>
            </w:tcBorders>
            <w:shd w:val="clear" w:color="auto" w:fill="auto"/>
            <w:noWrap/>
          </w:tcPr>
          <w:p w14:paraId="7337A1BD">
            <w:pPr>
              <w:widowControl/>
              <w:adjustRightInd w:val="0"/>
              <w:spacing w:line="240" w:lineRule="auto"/>
              <w:jc w:val="center"/>
              <w:rPr>
                <w:rFonts w:cs="Times New Roman"/>
                <w:color w:val="000000"/>
                <w:kern w:val="0"/>
                <w:szCs w:val="24"/>
              </w:rPr>
            </w:pPr>
            <w:r>
              <w:t>310</w:t>
            </w:r>
          </w:p>
        </w:tc>
      </w:tr>
      <w:tr w14:paraId="118AC21A">
        <w:tblPrEx>
          <w:tblCellMar>
            <w:top w:w="0" w:type="dxa"/>
            <w:left w:w="108" w:type="dxa"/>
            <w:bottom w:w="0" w:type="dxa"/>
            <w:right w:w="108" w:type="dxa"/>
          </w:tblCellMar>
        </w:tblPrEx>
        <w:trPr>
          <w:trHeight w:val="285" w:hRule="atLeast"/>
        </w:trPr>
        <w:tc>
          <w:tcPr>
            <w:tcW w:w="2078" w:type="pct"/>
            <w:tcBorders>
              <w:top w:val="nil"/>
              <w:left w:val="single" w:color="auto" w:sz="4" w:space="0"/>
              <w:bottom w:val="single" w:color="auto" w:sz="4" w:space="0"/>
              <w:right w:val="single" w:color="auto" w:sz="4" w:space="0"/>
            </w:tcBorders>
            <w:shd w:val="clear" w:color="auto" w:fill="auto"/>
            <w:noWrap/>
            <w:vAlign w:val="center"/>
          </w:tcPr>
          <w:p w14:paraId="4320A072">
            <w:pPr>
              <w:widowControl/>
              <w:adjustRightInd w:val="0"/>
              <w:spacing w:line="240" w:lineRule="auto"/>
              <w:jc w:val="center"/>
              <w:rPr>
                <w:rFonts w:cs="Times New Roman"/>
                <w:color w:val="000000"/>
                <w:kern w:val="0"/>
                <w:szCs w:val="24"/>
              </w:rPr>
            </w:pPr>
            <w:r>
              <w:rPr>
                <w:rFonts w:cs="Times New Roman"/>
                <w:color w:val="000000"/>
                <w:kern w:val="0"/>
                <w:szCs w:val="24"/>
              </w:rPr>
              <w:t>2035</w:t>
            </w:r>
            <w:r>
              <w:rPr>
                <w:rFonts w:hint="eastAsia" w:cs="Times New Roman"/>
                <w:color w:val="000000"/>
                <w:kern w:val="0"/>
                <w:szCs w:val="24"/>
              </w:rPr>
              <w:t>年</w:t>
            </w:r>
          </w:p>
        </w:tc>
        <w:tc>
          <w:tcPr>
            <w:tcW w:w="921" w:type="pct"/>
            <w:tcBorders>
              <w:top w:val="nil"/>
              <w:left w:val="nil"/>
              <w:bottom w:val="single" w:color="auto" w:sz="4" w:space="0"/>
              <w:right w:val="single" w:color="auto" w:sz="4" w:space="0"/>
            </w:tcBorders>
            <w:shd w:val="clear" w:color="auto" w:fill="auto"/>
            <w:noWrap/>
          </w:tcPr>
          <w:p w14:paraId="55B81014">
            <w:pPr>
              <w:widowControl/>
              <w:adjustRightInd w:val="0"/>
              <w:spacing w:line="240" w:lineRule="auto"/>
              <w:jc w:val="center"/>
              <w:rPr>
                <w:rFonts w:cs="Times New Roman"/>
                <w:color w:val="000000"/>
                <w:kern w:val="0"/>
                <w:szCs w:val="24"/>
              </w:rPr>
            </w:pPr>
            <w:r>
              <w:t>771.73</w:t>
            </w:r>
          </w:p>
        </w:tc>
        <w:tc>
          <w:tcPr>
            <w:tcW w:w="1080" w:type="pct"/>
            <w:tcBorders>
              <w:top w:val="nil"/>
              <w:left w:val="nil"/>
              <w:bottom w:val="single" w:color="auto" w:sz="4" w:space="0"/>
              <w:right w:val="single" w:color="auto" w:sz="4" w:space="0"/>
            </w:tcBorders>
            <w:shd w:val="clear" w:color="auto" w:fill="auto"/>
            <w:noWrap/>
          </w:tcPr>
          <w:p w14:paraId="114DA0DE">
            <w:pPr>
              <w:widowControl/>
              <w:adjustRightInd w:val="0"/>
              <w:spacing w:line="240" w:lineRule="auto"/>
              <w:jc w:val="center"/>
              <w:rPr>
                <w:rFonts w:cs="Times New Roman"/>
                <w:color w:val="000000"/>
                <w:kern w:val="0"/>
                <w:szCs w:val="24"/>
              </w:rPr>
            </w:pPr>
            <w:r>
              <w:t>8890.22</w:t>
            </w:r>
          </w:p>
        </w:tc>
        <w:tc>
          <w:tcPr>
            <w:tcW w:w="921" w:type="pct"/>
            <w:tcBorders>
              <w:top w:val="nil"/>
              <w:left w:val="nil"/>
              <w:bottom w:val="single" w:color="auto" w:sz="4" w:space="0"/>
              <w:right w:val="single" w:color="auto" w:sz="4" w:space="0"/>
            </w:tcBorders>
            <w:shd w:val="clear" w:color="auto" w:fill="auto"/>
            <w:noWrap/>
          </w:tcPr>
          <w:p w14:paraId="6A2110B4">
            <w:pPr>
              <w:widowControl/>
              <w:adjustRightInd w:val="0"/>
              <w:spacing w:line="240" w:lineRule="auto"/>
              <w:jc w:val="center"/>
              <w:rPr>
                <w:rFonts w:cs="Times New Roman"/>
                <w:color w:val="000000"/>
                <w:kern w:val="0"/>
                <w:szCs w:val="24"/>
              </w:rPr>
            </w:pPr>
            <w:r>
              <w:t>351.75</w:t>
            </w:r>
          </w:p>
        </w:tc>
      </w:tr>
    </w:tbl>
    <w:p w14:paraId="5FDD8C66">
      <w:pPr>
        <w:pStyle w:val="4"/>
        <w:widowControl/>
        <w:adjustRightInd w:val="0"/>
        <w:spacing w:before="156" w:beforeLines="50" w:after="0" w:line="360" w:lineRule="auto"/>
        <w:jc w:val="left"/>
        <w:rPr>
          <w:rFonts w:eastAsia="黑体" w:cs="Times New Roman"/>
          <w:b w:val="0"/>
          <w:bCs w:val="0"/>
          <w:kern w:val="0"/>
          <w:sz w:val="28"/>
          <w:szCs w:val="28"/>
        </w:rPr>
      </w:pPr>
      <w:bookmarkStart w:id="94" w:name="_Toc198652046"/>
      <w:r>
        <w:rPr>
          <w:rFonts w:eastAsia="黑体" w:cs="Times New Roman"/>
          <w:b w:val="0"/>
          <w:bCs w:val="0"/>
          <w:kern w:val="0"/>
          <w:sz w:val="28"/>
          <w:szCs w:val="28"/>
        </w:rPr>
        <w:t>4.2.3可供水量分析</w:t>
      </w:r>
      <w:bookmarkEnd w:id="94"/>
    </w:p>
    <w:p w14:paraId="78E49D05">
      <w:pPr>
        <w:widowControl/>
        <w:adjustRightInd w:val="0"/>
        <w:ind w:firstLine="562" w:firstLineChars="200"/>
        <w:rPr>
          <w:rFonts w:cs="Times New Roman"/>
          <w:b/>
          <w:bCs/>
          <w:sz w:val="28"/>
          <w:szCs w:val="28"/>
        </w:rPr>
      </w:pPr>
      <w:r>
        <w:rPr>
          <w:rFonts w:hint="eastAsia" w:cs="Times New Roman"/>
          <w:b/>
          <w:bCs/>
          <w:sz w:val="28"/>
          <w:szCs w:val="28"/>
        </w:rPr>
        <w:t>⑴</w:t>
      </w:r>
      <w:bookmarkStart w:id="95" w:name="_Hlk65161315"/>
      <w:r>
        <w:rPr>
          <w:rFonts w:cs="Times New Roman"/>
          <w:b/>
          <w:bCs/>
          <w:sz w:val="28"/>
          <w:szCs w:val="28"/>
        </w:rPr>
        <w:t>地下水可供水量</w:t>
      </w:r>
      <w:bookmarkEnd w:id="95"/>
    </w:p>
    <w:p w14:paraId="7568BB14">
      <w:pPr>
        <w:widowControl/>
        <w:adjustRightInd w:val="0"/>
        <w:ind w:firstLine="560" w:firstLineChars="200"/>
        <w:rPr>
          <w:rFonts w:cs="Times New Roman"/>
          <w:sz w:val="28"/>
          <w:szCs w:val="28"/>
        </w:rPr>
      </w:pPr>
      <w:bookmarkStart w:id="96" w:name="_Hlk65161358"/>
      <w:r>
        <w:rPr>
          <w:rFonts w:hint="eastAsia" w:cs="Times New Roman"/>
          <w:sz w:val="28"/>
          <w:szCs w:val="28"/>
        </w:rPr>
        <w:t>根据《内蒙古自治区第三次全国水资源调查评价技术报告》（内蒙古自治区水利水电勘测设计院）（简称《评价技术报告》），九原区地下水可开采量（计入山丘区）（矿化度≤2</w:t>
      </w:r>
      <w:r>
        <w:rPr>
          <w:rFonts w:cs="Times New Roman"/>
          <w:sz w:val="28"/>
          <w:szCs w:val="28"/>
        </w:rPr>
        <w:t>g/L</w:t>
      </w:r>
      <w:r>
        <w:rPr>
          <w:rFonts w:hint="eastAsia" w:cs="Times New Roman"/>
          <w:sz w:val="28"/>
          <w:szCs w:val="28"/>
        </w:rPr>
        <w:t>）为</w:t>
      </w:r>
      <w:r>
        <w:rPr>
          <w:rFonts w:cs="Times New Roman"/>
          <w:sz w:val="28"/>
          <w:szCs w:val="28"/>
        </w:rPr>
        <w:t>2085</w:t>
      </w:r>
      <w:r>
        <w:rPr>
          <w:rFonts w:hint="eastAsia" w:cs="Times New Roman"/>
          <w:sz w:val="28"/>
          <w:szCs w:val="28"/>
        </w:rPr>
        <w:t>万m</w:t>
      </w:r>
      <w:r>
        <w:rPr>
          <w:rFonts w:cs="Times New Roman"/>
          <w:sz w:val="28"/>
          <w:szCs w:val="28"/>
          <w:vertAlign w:val="superscript"/>
        </w:rPr>
        <w:t>3</w:t>
      </w:r>
      <w:r>
        <w:rPr>
          <w:rFonts w:hint="eastAsia" w:cs="Times New Roman"/>
          <w:sz w:val="28"/>
          <w:szCs w:val="28"/>
        </w:rPr>
        <w:t>。</w:t>
      </w:r>
    </w:p>
    <w:bookmarkEnd w:id="96"/>
    <w:p w14:paraId="4DDDEE9E">
      <w:pPr>
        <w:widowControl/>
        <w:adjustRightInd w:val="0"/>
        <w:ind w:firstLine="562" w:firstLineChars="200"/>
        <w:rPr>
          <w:rFonts w:cs="Times New Roman"/>
          <w:b/>
          <w:bCs/>
          <w:sz w:val="28"/>
          <w:szCs w:val="28"/>
        </w:rPr>
      </w:pPr>
      <w:r>
        <w:rPr>
          <w:rFonts w:hint="eastAsia" w:cs="Times New Roman"/>
          <w:b/>
          <w:bCs/>
          <w:sz w:val="28"/>
          <w:szCs w:val="28"/>
        </w:rPr>
        <w:t>⑵</w:t>
      </w:r>
      <w:r>
        <w:rPr>
          <w:rFonts w:cs="Times New Roman"/>
          <w:b/>
          <w:bCs/>
          <w:sz w:val="28"/>
          <w:szCs w:val="28"/>
        </w:rPr>
        <w:t>地表水可供水量</w:t>
      </w:r>
    </w:p>
    <w:p w14:paraId="56180315">
      <w:pPr>
        <w:widowControl/>
        <w:adjustRightInd w:val="0"/>
        <w:ind w:firstLine="560" w:firstLineChars="200"/>
        <w:rPr>
          <w:rFonts w:cs="Times New Roman"/>
          <w:sz w:val="28"/>
          <w:szCs w:val="28"/>
        </w:rPr>
      </w:pPr>
      <w:bookmarkStart w:id="97" w:name="_Hlk65161432"/>
      <w:bookmarkStart w:id="98" w:name="_Hlk54688929"/>
      <w:r>
        <w:rPr>
          <w:rFonts w:hint="eastAsia" w:cs="Times New Roman"/>
          <w:sz w:val="28"/>
          <w:szCs w:val="28"/>
        </w:rPr>
        <w:t>根据《评价技术报告》，九原区多年平均地表水可利用量为</w:t>
      </w:r>
      <w:r>
        <w:rPr>
          <w:rFonts w:cs="Times New Roman"/>
          <w:sz w:val="28"/>
          <w:szCs w:val="28"/>
        </w:rPr>
        <w:t>823</w:t>
      </w:r>
      <w:r>
        <w:rPr>
          <w:rFonts w:hint="eastAsia" w:cs="Times New Roman"/>
          <w:sz w:val="28"/>
          <w:szCs w:val="28"/>
        </w:rPr>
        <w:t>万m</w:t>
      </w:r>
      <w:r>
        <w:rPr>
          <w:rFonts w:cs="Times New Roman"/>
          <w:sz w:val="28"/>
          <w:szCs w:val="28"/>
          <w:vertAlign w:val="superscript"/>
        </w:rPr>
        <w:t>3</w:t>
      </w:r>
      <w:r>
        <w:rPr>
          <w:rFonts w:hint="eastAsia" w:cs="Times New Roman"/>
          <w:sz w:val="28"/>
          <w:szCs w:val="28"/>
        </w:rPr>
        <w:t>，九原区地表水多数为季节性河流，没有地表水取书工程，仅有黄河水水权分配指标4</w:t>
      </w:r>
      <w:r>
        <w:rPr>
          <w:rFonts w:cs="Times New Roman"/>
          <w:sz w:val="28"/>
          <w:szCs w:val="28"/>
        </w:rPr>
        <w:t>031</w:t>
      </w:r>
      <w:r>
        <w:rPr>
          <w:rFonts w:hint="eastAsia" w:cs="Times New Roman"/>
          <w:sz w:val="28"/>
          <w:szCs w:val="28"/>
        </w:rPr>
        <w:t>万m</w:t>
      </w:r>
      <w:r>
        <w:rPr>
          <w:rFonts w:cs="Times New Roman"/>
          <w:sz w:val="28"/>
          <w:szCs w:val="28"/>
          <w:vertAlign w:val="superscript"/>
        </w:rPr>
        <w:t>3</w:t>
      </w:r>
      <w:r>
        <w:rPr>
          <w:rFonts w:hint="eastAsia" w:cs="Times New Roman"/>
          <w:sz w:val="28"/>
          <w:szCs w:val="28"/>
        </w:rPr>
        <w:t>。</w:t>
      </w:r>
    </w:p>
    <w:bookmarkEnd w:id="97"/>
    <w:p w14:paraId="723B14BE">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bookmarkEnd w:id="98"/>
      <w:r>
        <w:rPr>
          <w:rFonts w:cs="Times New Roman"/>
          <w:b/>
          <w:bCs/>
          <w:sz w:val="28"/>
          <w:szCs w:val="28"/>
        </w:rPr>
        <w:t>再生水可供水量</w:t>
      </w:r>
    </w:p>
    <w:p w14:paraId="632B1953">
      <w:pPr>
        <w:widowControl/>
        <w:adjustRightInd w:val="0"/>
        <w:ind w:firstLine="560" w:firstLineChars="200"/>
        <w:rPr>
          <w:rFonts w:cs="Times New Roman"/>
          <w:sz w:val="28"/>
          <w:szCs w:val="28"/>
        </w:rPr>
        <w:sectPr>
          <w:pgSz w:w="11906" w:h="16838"/>
          <w:pgMar w:top="1440" w:right="1800" w:bottom="1440" w:left="1800" w:header="851" w:footer="992" w:gutter="0"/>
          <w:cols w:space="425" w:num="1"/>
          <w:docGrid w:type="lines" w:linePitch="312" w:charSpace="0"/>
        </w:sectPr>
      </w:pPr>
      <w:bookmarkStart w:id="99" w:name="_Hlk58597284"/>
      <w:r>
        <w:rPr>
          <w:rFonts w:cs="Times New Roman"/>
          <w:sz w:val="28"/>
          <w:szCs w:val="28"/>
        </w:rPr>
        <w:t>据污水处理厂202</w:t>
      </w:r>
      <w:r>
        <w:rPr>
          <w:rFonts w:hint="eastAsia" w:cs="Times New Roman"/>
          <w:sz w:val="28"/>
          <w:szCs w:val="28"/>
        </w:rPr>
        <w:t>3</w:t>
      </w:r>
      <w:r>
        <w:rPr>
          <w:rFonts w:cs="Times New Roman"/>
          <w:sz w:val="28"/>
          <w:szCs w:val="28"/>
        </w:rPr>
        <w:t>年运行监测记录资料表明，现状年（202</w:t>
      </w:r>
      <w:r>
        <w:rPr>
          <w:rFonts w:hint="eastAsia" w:cs="Times New Roman"/>
          <w:sz w:val="28"/>
          <w:szCs w:val="28"/>
        </w:rPr>
        <w:t>3</w:t>
      </w:r>
      <w:r>
        <w:rPr>
          <w:rFonts w:cs="Times New Roman"/>
          <w:sz w:val="28"/>
          <w:szCs w:val="28"/>
        </w:rPr>
        <w:t>年）</w:t>
      </w:r>
      <w:r>
        <w:rPr>
          <w:rFonts w:hint="eastAsia" w:cs="Times New Roman"/>
          <w:sz w:val="28"/>
          <w:szCs w:val="28"/>
        </w:rPr>
        <w:t>南郊污水处理厂和包头市九原水质净化厂</w:t>
      </w:r>
      <w:r>
        <w:rPr>
          <w:rFonts w:cs="Times New Roman"/>
          <w:sz w:val="28"/>
          <w:szCs w:val="28"/>
        </w:rPr>
        <w:t>污水收集量为5142万m</w:t>
      </w:r>
      <w:r>
        <w:rPr>
          <w:rFonts w:cs="Times New Roman"/>
          <w:sz w:val="28"/>
          <w:szCs w:val="28"/>
          <w:vertAlign w:val="superscript"/>
        </w:rPr>
        <w:t>3</w:t>
      </w:r>
      <w:r>
        <w:rPr>
          <w:rFonts w:hint="eastAsia" w:cs="Times New Roman"/>
          <w:sz w:val="28"/>
          <w:szCs w:val="28"/>
        </w:rPr>
        <w:t>，</w:t>
      </w:r>
      <w:r>
        <w:rPr>
          <w:rFonts w:cs="Times New Roman"/>
          <w:sz w:val="28"/>
          <w:szCs w:val="28"/>
        </w:rPr>
        <w:t>中水输出</w:t>
      </w:r>
      <w:r>
        <w:rPr>
          <w:rFonts w:hint="eastAsia" w:cs="Times New Roman"/>
          <w:sz w:val="28"/>
          <w:szCs w:val="28"/>
        </w:rPr>
        <w:t>利用量</w:t>
      </w:r>
      <w:r>
        <w:rPr>
          <w:rFonts w:cs="Times New Roman"/>
          <w:sz w:val="28"/>
          <w:szCs w:val="28"/>
        </w:rPr>
        <w:t>548万m</w:t>
      </w:r>
      <w:r>
        <w:rPr>
          <w:rFonts w:cs="Times New Roman"/>
          <w:sz w:val="28"/>
          <w:szCs w:val="28"/>
          <w:vertAlign w:val="superscript"/>
        </w:rPr>
        <w:t>3</w:t>
      </w:r>
      <w:r>
        <w:rPr>
          <w:rFonts w:hint="eastAsia" w:cs="Times New Roman"/>
          <w:sz w:val="28"/>
          <w:szCs w:val="28"/>
        </w:rPr>
        <w:t>。</w:t>
      </w:r>
    </w:p>
    <w:p w14:paraId="514E0A99">
      <w:pPr>
        <w:adjustRightInd w:val="0"/>
        <w:spacing w:line="240" w:lineRule="auto"/>
        <w:jc w:val="center"/>
        <w:rPr>
          <w:rFonts w:cs="Times New Roman"/>
          <w:b/>
          <w:szCs w:val="21"/>
        </w:rPr>
      </w:pPr>
      <w:r>
        <w:rPr>
          <w:rFonts w:cs="Times New Roman"/>
          <w:b/>
          <w:szCs w:val="21"/>
        </w:rPr>
        <w:t>表</w:t>
      </w:r>
      <w:r>
        <w:rPr>
          <w:rFonts w:hint="eastAsia" w:cs="Times New Roman"/>
          <w:b/>
          <w:szCs w:val="21"/>
        </w:rPr>
        <w:t>4-8</w:t>
      </w:r>
      <w:r>
        <w:rPr>
          <w:rFonts w:cs="Times New Roman"/>
          <w:b/>
          <w:szCs w:val="21"/>
        </w:rPr>
        <w:t xml:space="preserve">  九原区</w:t>
      </w:r>
      <w:r>
        <w:rPr>
          <w:rFonts w:hint="eastAsia" w:cs="Times New Roman"/>
          <w:b/>
          <w:szCs w:val="21"/>
        </w:rPr>
        <w:t>污水处理厂情况</w:t>
      </w:r>
    </w:p>
    <w:tbl>
      <w:tblPr>
        <w:tblStyle w:val="19"/>
        <w:tblW w:w="5000" w:type="pct"/>
        <w:tblInd w:w="0" w:type="dxa"/>
        <w:tblLayout w:type="autofit"/>
        <w:tblCellMar>
          <w:top w:w="0" w:type="dxa"/>
          <w:left w:w="108" w:type="dxa"/>
          <w:bottom w:w="0" w:type="dxa"/>
          <w:right w:w="108" w:type="dxa"/>
        </w:tblCellMar>
      </w:tblPr>
      <w:tblGrid>
        <w:gridCol w:w="714"/>
        <w:gridCol w:w="1715"/>
        <w:gridCol w:w="1261"/>
        <w:gridCol w:w="1491"/>
        <w:gridCol w:w="1831"/>
        <w:gridCol w:w="1375"/>
        <w:gridCol w:w="1352"/>
        <w:gridCol w:w="3107"/>
        <w:gridCol w:w="1328"/>
      </w:tblGrid>
      <w:tr w14:paraId="4AB3A971">
        <w:tblPrEx>
          <w:tblCellMar>
            <w:top w:w="0" w:type="dxa"/>
            <w:left w:w="108" w:type="dxa"/>
            <w:bottom w:w="0" w:type="dxa"/>
            <w:right w:w="108" w:type="dxa"/>
          </w:tblCellMar>
        </w:tblPrEx>
        <w:trPr>
          <w:trHeight w:val="409" w:hRule="atLeast"/>
        </w:trPr>
        <w:tc>
          <w:tcPr>
            <w:tcW w:w="25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F961B4">
            <w:pPr>
              <w:adjustRightInd w:val="0"/>
              <w:spacing w:line="240" w:lineRule="auto"/>
              <w:jc w:val="center"/>
              <w:rPr>
                <w:rFonts w:cs="Times New Roman"/>
                <w:b/>
                <w:bCs/>
                <w:color w:val="000000"/>
                <w:sz w:val="21"/>
                <w:szCs w:val="21"/>
              </w:rPr>
            </w:pPr>
            <w:r>
              <w:rPr>
                <w:rFonts w:cs="Times New Roman"/>
                <w:b/>
                <w:bCs/>
                <w:color w:val="000000"/>
                <w:sz w:val="21"/>
                <w:szCs w:val="21"/>
              </w:rPr>
              <w:t>序号</w:t>
            </w:r>
          </w:p>
        </w:tc>
        <w:tc>
          <w:tcPr>
            <w:tcW w:w="60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F26133A">
            <w:pPr>
              <w:adjustRightInd w:val="0"/>
              <w:spacing w:line="240" w:lineRule="auto"/>
              <w:jc w:val="center"/>
              <w:rPr>
                <w:rFonts w:cs="Times New Roman"/>
                <w:b/>
                <w:bCs/>
                <w:color w:val="000000"/>
                <w:sz w:val="21"/>
                <w:szCs w:val="21"/>
              </w:rPr>
            </w:pPr>
            <w:r>
              <w:rPr>
                <w:rFonts w:cs="Times New Roman"/>
                <w:b/>
                <w:bCs/>
                <w:color w:val="000000"/>
                <w:sz w:val="21"/>
                <w:szCs w:val="21"/>
              </w:rPr>
              <w:t>污水</w:t>
            </w:r>
            <w:r>
              <w:rPr>
                <w:rFonts w:hint="eastAsia" w:cs="Times New Roman"/>
                <w:b/>
                <w:bCs/>
                <w:color w:val="000000"/>
                <w:sz w:val="21"/>
                <w:szCs w:val="21"/>
                <w:lang w:eastAsia="zh-CN"/>
              </w:rPr>
              <w:t>处理</w:t>
            </w:r>
            <w:r>
              <w:rPr>
                <w:rFonts w:cs="Times New Roman"/>
                <w:b/>
                <w:bCs/>
                <w:color w:val="000000"/>
                <w:sz w:val="21"/>
                <w:szCs w:val="21"/>
              </w:rPr>
              <w:t>厂名称</w:t>
            </w:r>
          </w:p>
        </w:tc>
        <w:tc>
          <w:tcPr>
            <w:tcW w:w="44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2BC73EE">
            <w:pPr>
              <w:adjustRightInd w:val="0"/>
              <w:spacing w:line="240" w:lineRule="auto"/>
              <w:jc w:val="center"/>
              <w:rPr>
                <w:rFonts w:cs="Times New Roman"/>
                <w:b/>
                <w:bCs/>
                <w:color w:val="000000"/>
                <w:sz w:val="21"/>
                <w:szCs w:val="21"/>
              </w:rPr>
            </w:pPr>
            <w:r>
              <w:rPr>
                <w:rFonts w:cs="Times New Roman"/>
                <w:b/>
                <w:bCs/>
                <w:color w:val="000000"/>
                <w:sz w:val="21"/>
                <w:szCs w:val="21"/>
              </w:rPr>
              <w:t>地点</w:t>
            </w:r>
          </w:p>
        </w:tc>
        <w:tc>
          <w:tcPr>
            <w:tcW w:w="52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2B865D2">
            <w:pPr>
              <w:adjustRightInd w:val="0"/>
              <w:spacing w:line="240" w:lineRule="auto"/>
              <w:jc w:val="center"/>
              <w:rPr>
                <w:rFonts w:cs="Times New Roman"/>
                <w:b/>
                <w:bCs/>
                <w:color w:val="000000"/>
                <w:sz w:val="21"/>
                <w:szCs w:val="21"/>
              </w:rPr>
            </w:pPr>
            <w:r>
              <w:rPr>
                <w:rFonts w:cs="Times New Roman"/>
                <w:b/>
                <w:bCs/>
                <w:color w:val="000000"/>
                <w:sz w:val="21"/>
                <w:szCs w:val="21"/>
              </w:rPr>
              <w:t>收集污水量（万m³）</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7272CDD">
            <w:pPr>
              <w:adjustRightInd w:val="0"/>
              <w:spacing w:line="240" w:lineRule="auto"/>
              <w:jc w:val="center"/>
              <w:rPr>
                <w:rFonts w:cs="Times New Roman"/>
                <w:b/>
                <w:bCs/>
                <w:color w:val="000000"/>
                <w:sz w:val="21"/>
                <w:szCs w:val="21"/>
              </w:rPr>
            </w:pPr>
            <w:r>
              <w:rPr>
                <w:rFonts w:cs="Times New Roman"/>
                <w:b/>
                <w:bCs/>
                <w:color w:val="000000"/>
                <w:sz w:val="21"/>
                <w:szCs w:val="21"/>
              </w:rPr>
              <w:t>中水输出利用量（万m³）</w:t>
            </w:r>
          </w:p>
        </w:tc>
        <w:tc>
          <w:tcPr>
            <w:tcW w:w="48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4F0F2A1">
            <w:pPr>
              <w:adjustRightInd w:val="0"/>
              <w:spacing w:line="240" w:lineRule="auto"/>
              <w:jc w:val="center"/>
              <w:rPr>
                <w:rFonts w:cs="Times New Roman"/>
                <w:b/>
                <w:bCs/>
                <w:color w:val="000000"/>
                <w:sz w:val="21"/>
                <w:szCs w:val="21"/>
              </w:rPr>
            </w:pPr>
            <w:r>
              <w:rPr>
                <w:rFonts w:cs="Times New Roman"/>
                <w:b/>
                <w:bCs/>
                <w:color w:val="000000"/>
                <w:sz w:val="21"/>
                <w:szCs w:val="21"/>
              </w:rPr>
              <w:t>中水外排量（万m³）</w:t>
            </w:r>
          </w:p>
        </w:tc>
        <w:tc>
          <w:tcPr>
            <w:tcW w:w="47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A98C3E2">
            <w:pPr>
              <w:adjustRightInd w:val="0"/>
              <w:spacing w:line="240" w:lineRule="auto"/>
              <w:jc w:val="center"/>
              <w:rPr>
                <w:rFonts w:cs="Times New Roman"/>
                <w:b/>
                <w:bCs/>
                <w:color w:val="000000"/>
                <w:sz w:val="21"/>
                <w:szCs w:val="21"/>
              </w:rPr>
            </w:pPr>
            <w:r>
              <w:rPr>
                <w:rFonts w:cs="Times New Roman"/>
                <w:b/>
                <w:bCs/>
                <w:color w:val="000000"/>
                <w:sz w:val="21"/>
                <w:szCs w:val="21"/>
              </w:rPr>
              <w:t>中水利用率</w:t>
            </w:r>
          </w:p>
        </w:tc>
        <w:tc>
          <w:tcPr>
            <w:tcW w:w="109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19F942F">
            <w:pPr>
              <w:adjustRightInd w:val="0"/>
              <w:spacing w:line="240" w:lineRule="auto"/>
              <w:jc w:val="center"/>
              <w:rPr>
                <w:rFonts w:cs="Times New Roman"/>
                <w:b/>
                <w:bCs/>
                <w:color w:val="000000"/>
                <w:sz w:val="21"/>
                <w:szCs w:val="21"/>
              </w:rPr>
            </w:pPr>
            <w:r>
              <w:rPr>
                <w:rFonts w:cs="Times New Roman"/>
                <w:b/>
                <w:bCs/>
                <w:color w:val="000000"/>
                <w:sz w:val="21"/>
                <w:szCs w:val="21"/>
              </w:rPr>
              <w:t>中水水质标准</w:t>
            </w:r>
          </w:p>
        </w:tc>
        <w:tc>
          <w:tcPr>
            <w:tcW w:w="46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04BC2C">
            <w:pPr>
              <w:adjustRightInd w:val="0"/>
              <w:spacing w:line="240" w:lineRule="auto"/>
              <w:jc w:val="center"/>
              <w:rPr>
                <w:rFonts w:cs="Times New Roman"/>
                <w:b/>
                <w:bCs/>
                <w:color w:val="000000"/>
                <w:sz w:val="21"/>
                <w:szCs w:val="21"/>
              </w:rPr>
            </w:pPr>
            <w:r>
              <w:rPr>
                <w:rFonts w:cs="Times New Roman"/>
                <w:b/>
                <w:bCs/>
                <w:color w:val="000000"/>
                <w:sz w:val="21"/>
                <w:szCs w:val="21"/>
              </w:rPr>
              <w:t>水价（元）</w:t>
            </w:r>
          </w:p>
        </w:tc>
      </w:tr>
      <w:tr w14:paraId="0144DDB7">
        <w:tblPrEx>
          <w:tblCellMar>
            <w:top w:w="0" w:type="dxa"/>
            <w:left w:w="108" w:type="dxa"/>
            <w:bottom w:w="0" w:type="dxa"/>
            <w:right w:w="108" w:type="dxa"/>
          </w:tblCellMar>
        </w:tblPrEx>
        <w:trPr>
          <w:trHeight w:val="326" w:hRule="atLeast"/>
        </w:trPr>
        <w:tc>
          <w:tcPr>
            <w:tcW w:w="252" w:type="pct"/>
            <w:vMerge w:val="continue"/>
            <w:tcBorders>
              <w:top w:val="single" w:color="auto" w:sz="4" w:space="0"/>
              <w:left w:val="single" w:color="auto" w:sz="4" w:space="0"/>
              <w:bottom w:val="single" w:color="auto" w:sz="4" w:space="0"/>
              <w:right w:val="single" w:color="auto" w:sz="4" w:space="0"/>
            </w:tcBorders>
            <w:vAlign w:val="center"/>
          </w:tcPr>
          <w:p w14:paraId="69783C80">
            <w:pPr>
              <w:adjustRightInd w:val="0"/>
              <w:spacing w:line="240" w:lineRule="auto"/>
              <w:rPr>
                <w:rFonts w:cs="Times New Roman"/>
                <w:b/>
                <w:bCs/>
                <w:color w:val="000000"/>
                <w:sz w:val="21"/>
                <w:szCs w:val="21"/>
              </w:rPr>
            </w:pPr>
          </w:p>
        </w:tc>
        <w:tc>
          <w:tcPr>
            <w:tcW w:w="605" w:type="pct"/>
            <w:vMerge w:val="continue"/>
            <w:tcBorders>
              <w:top w:val="single" w:color="auto" w:sz="4" w:space="0"/>
              <w:left w:val="single" w:color="auto" w:sz="4" w:space="0"/>
              <w:bottom w:val="single" w:color="auto" w:sz="4" w:space="0"/>
              <w:right w:val="single" w:color="auto" w:sz="4" w:space="0"/>
            </w:tcBorders>
            <w:vAlign w:val="center"/>
          </w:tcPr>
          <w:p w14:paraId="44B5DC48">
            <w:pPr>
              <w:adjustRightInd w:val="0"/>
              <w:spacing w:line="240" w:lineRule="auto"/>
              <w:rPr>
                <w:rFonts w:cs="Times New Roman"/>
                <w:b/>
                <w:bCs/>
                <w:color w:val="000000"/>
                <w:sz w:val="21"/>
                <w:szCs w:val="21"/>
              </w:rPr>
            </w:pPr>
          </w:p>
        </w:tc>
        <w:tc>
          <w:tcPr>
            <w:tcW w:w="445" w:type="pct"/>
            <w:vMerge w:val="continue"/>
            <w:tcBorders>
              <w:top w:val="single" w:color="auto" w:sz="4" w:space="0"/>
              <w:left w:val="single" w:color="auto" w:sz="4" w:space="0"/>
              <w:bottom w:val="single" w:color="auto" w:sz="4" w:space="0"/>
              <w:right w:val="single" w:color="auto" w:sz="4" w:space="0"/>
            </w:tcBorders>
            <w:vAlign w:val="center"/>
          </w:tcPr>
          <w:p w14:paraId="0FD09192">
            <w:pPr>
              <w:adjustRightInd w:val="0"/>
              <w:spacing w:line="240" w:lineRule="auto"/>
              <w:rPr>
                <w:rFonts w:cs="Times New Roman"/>
                <w:b/>
                <w:bCs/>
                <w:color w:val="000000"/>
                <w:sz w:val="21"/>
                <w:szCs w:val="21"/>
              </w:rPr>
            </w:pPr>
          </w:p>
        </w:tc>
        <w:tc>
          <w:tcPr>
            <w:tcW w:w="526" w:type="pct"/>
            <w:vMerge w:val="continue"/>
            <w:tcBorders>
              <w:top w:val="single" w:color="auto" w:sz="4" w:space="0"/>
              <w:left w:val="single" w:color="auto" w:sz="4" w:space="0"/>
              <w:bottom w:val="single" w:color="auto" w:sz="4" w:space="0"/>
              <w:right w:val="single" w:color="auto" w:sz="4" w:space="0"/>
            </w:tcBorders>
            <w:vAlign w:val="center"/>
          </w:tcPr>
          <w:p w14:paraId="4F6D5898">
            <w:pPr>
              <w:adjustRightInd w:val="0"/>
              <w:spacing w:line="240" w:lineRule="auto"/>
              <w:rPr>
                <w:rFonts w:cs="Times New Roman"/>
                <w:b/>
                <w:bCs/>
                <w:color w:val="000000"/>
                <w:sz w:val="21"/>
                <w:szCs w:val="21"/>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0EC8ECB">
            <w:pPr>
              <w:adjustRightInd w:val="0"/>
              <w:spacing w:line="240" w:lineRule="auto"/>
              <w:rPr>
                <w:rFonts w:cs="Times New Roman"/>
                <w:b/>
                <w:bCs/>
                <w:color w:val="000000"/>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vAlign w:val="center"/>
          </w:tcPr>
          <w:p w14:paraId="7E2ED7D6">
            <w:pPr>
              <w:adjustRightInd w:val="0"/>
              <w:spacing w:line="240" w:lineRule="auto"/>
              <w:rPr>
                <w:rFonts w:cs="Times New Roman"/>
                <w:b/>
                <w:bCs/>
                <w:color w:val="000000"/>
                <w:sz w:val="21"/>
                <w:szCs w:val="21"/>
              </w:rPr>
            </w:pPr>
          </w:p>
        </w:tc>
        <w:tc>
          <w:tcPr>
            <w:tcW w:w="477" w:type="pct"/>
            <w:vMerge w:val="continue"/>
            <w:tcBorders>
              <w:top w:val="single" w:color="auto" w:sz="4" w:space="0"/>
              <w:left w:val="single" w:color="auto" w:sz="4" w:space="0"/>
              <w:bottom w:val="single" w:color="auto" w:sz="4" w:space="0"/>
              <w:right w:val="single" w:color="auto" w:sz="4" w:space="0"/>
            </w:tcBorders>
            <w:vAlign w:val="center"/>
          </w:tcPr>
          <w:p w14:paraId="661B21A1">
            <w:pPr>
              <w:adjustRightInd w:val="0"/>
              <w:spacing w:line="240" w:lineRule="auto"/>
              <w:rPr>
                <w:rFonts w:cs="Times New Roman"/>
                <w:b/>
                <w:bCs/>
                <w:color w:val="000000"/>
                <w:sz w:val="21"/>
                <w:szCs w:val="21"/>
              </w:rPr>
            </w:pPr>
          </w:p>
        </w:tc>
        <w:tc>
          <w:tcPr>
            <w:tcW w:w="1096" w:type="pct"/>
            <w:vMerge w:val="continue"/>
            <w:tcBorders>
              <w:top w:val="single" w:color="auto" w:sz="4" w:space="0"/>
              <w:left w:val="single" w:color="auto" w:sz="4" w:space="0"/>
              <w:bottom w:val="single" w:color="auto" w:sz="4" w:space="0"/>
              <w:right w:val="single" w:color="auto" w:sz="4" w:space="0"/>
            </w:tcBorders>
            <w:vAlign w:val="center"/>
          </w:tcPr>
          <w:p w14:paraId="39E6051D">
            <w:pPr>
              <w:adjustRightInd w:val="0"/>
              <w:spacing w:line="240" w:lineRule="auto"/>
              <w:rPr>
                <w:rFonts w:cs="Times New Roman"/>
                <w:b/>
                <w:bCs/>
                <w:color w:val="000000"/>
                <w:sz w:val="21"/>
                <w:szCs w:val="21"/>
              </w:rPr>
            </w:pPr>
          </w:p>
        </w:tc>
        <w:tc>
          <w:tcPr>
            <w:tcW w:w="469" w:type="pct"/>
            <w:vMerge w:val="continue"/>
            <w:tcBorders>
              <w:top w:val="single" w:color="auto" w:sz="4" w:space="0"/>
              <w:left w:val="single" w:color="auto" w:sz="4" w:space="0"/>
              <w:bottom w:val="single" w:color="auto" w:sz="4" w:space="0"/>
              <w:right w:val="single" w:color="auto" w:sz="4" w:space="0"/>
            </w:tcBorders>
            <w:vAlign w:val="center"/>
          </w:tcPr>
          <w:p w14:paraId="485F0B64">
            <w:pPr>
              <w:adjustRightInd w:val="0"/>
              <w:spacing w:line="240" w:lineRule="auto"/>
              <w:rPr>
                <w:rFonts w:cs="Times New Roman"/>
                <w:b/>
                <w:bCs/>
                <w:color w:val="000000"/>
                <w:sz w:val="21"/>
                <w:szCs w:val="21"/>
              </w:rPr>
            </w:pPr>
          </w:p>
        </w:tc>
      </w:tr>
      <w:tr w14:paraId="57FA8668">
        <w:tblPrEx>
          <w:tblCellMar>
            <w:top w:w="0" w:type="dxa"/>
            <w:left w:w="108" w:type="dxa"/>
            <w:bottom w:w="0" w:type="dxa"/>
            <w:right w:w="108" w:type="dxa"/>
          </w:tblCellMar>
        </w:tblPrEx>
        <w:trPr>
          <w:trHeight w:val="20" w:hRule="atLeast"/>
        </w:trPr>
        <w:tc>
          <w:tcPr>
            <w:tcW w:w="252" w:type="pct"/>
            <w:tcBorders>
              <w:top w:val="single" w:color="auto" w:sz="4" w:space="0"/>
              <w:left w:val="single" w:color="auto" w:sz="4" w:space="0"/>
              <w:bottom w:val="single" w:color="auto" w:sz="4" w:space="0"/>
              <w:right w:val="single" w:color="auto" w:sz="4" w:space="0"/>
            </w:tcBorders>
            <w:shd w:val="clear" w:color="auto" w:fill="auto"/>
            <w:vAlign w:val="center"/>
          </w:tcPr>
          <w:p w14:paraId="49FA558D">
            <w:pPr>
              <w:adjustRightInd w:val="0"/>
              <w:spacing w:line="240" w:lineRule="auto"/>
              <w:jc w:val="center"/>
              <w:rPr>
                <w:rFonts w:cs="Times New Roman"/>
                <w:color w:val="000000"/>
                <w:sz w:val="21"/>
                <w:szCs w:val="21"/>
              </w:rPr>
            </w:pPr>
            <w:r>
              <w:rPr>
                <w:rFonts w:cs="Times New Roman"/>
                <w:color w:val="000000"/>
                <w:sz w:val="21"/>
                <w:szCs w:val="21"/>
              </w:rPr>
              <w:t>1</w:t>
            </w:r>
          </w:p>
        </w:tc>
        <w:tc>
          <w:tcPr>
            <w:tcW w:w="605" w:type="pct"/>
            <w:tcBorders>
              <w:top w:val="single" w:color="auto" w:sz="4" w:space="0"/>
              <w:left w:val="nil"/>
              <w:bottom w:val="single" w:color="auto" w:sz="4" w:space="0"/>
              <w:right w:val="single" w:color="auto" w:sz="4" w:space="0"/>
            </w:tcBorders>
            <w:shd w:val="clear" w:color="auto" w:fill="auto"/>
            <w:vAlign w:val="center"/>
          </w:tcPr>
          <w:p w14:paraId="23B0D22D">
            <w:pPr>
              <w:adjustRightInd w:val="0"/>
              <w:spacing w:line="240" w:lineRule="auto"/>
              <w:jc w:val="center"/>
              <w:rPr>
                <w:rFonts w:cs="Times New Roman"/>
                <w:color w:val="000000"/>
                <w:sz w:val="21"/>
                <w:szCs w:val="21"/>
              </w:rPr>
            </w:pPr>
            <w:r>
              <w:rPr>
                <w:rFonts w:cs="Times New Roman"/>
                <w:color w:val="000000"/>
                <w:sz w:val="21"/>
                <w:szCs w:val="21"/>
              </w:rPr>
              <w:t>南郊污水处理厂</w:t>
            </w:r>
          </w:p>
        </w:tc>
        <w:tc>
          <w:tcPr>
            <w:tcW w:w="445" w:type="pct"/>
            <w:tcBorders>
              <w:top w:val="single" w:color="auto" w:sz="4" w:space="0"/>
              <w:left w:val="nil"/>
              <w:bottom w:val="single" w:color="auto" w:sz="4" w:space="0"/>
              <w:right w:val="single" w:color="auto" w:sz="4" w:space="0"/>
            </w:tcBorders>
            <w:shd w:val="clear" w:color="auto" w:fill="auto"/>
            <w:vAlign w:val="center"/>
          </w:tcPr>
          <w:p w14:paraId="517BC005">
            <w:pPr>
              <w:adjustRightInd w:val="0"/>
              <w:spacing w:line="240" w:lineRule="auto"/>
              <w:jc w:val="center"/>
              <w:rPr>
                <w:rFonts w:cs="Times New Roman"/>
                <w:color w:val="000000"/>
                <w:sz w:val="21"/>
                <w:szCs w:val="21"/>
              </w:rPr>
            </w:pPr>
            <w:r>
              <w:rPr>
                <w:rFonts w:cs="Times New Roman"/>
                <w:color w:val="000000"/>
                <w:sz w:val="21"/>
                <w:szCs w:val="21"/>
              </w:rPr>
              <w:t>九原区麻池镇</w:t>
            </w:r>
          </w:p>
        </w:tc>
        <w:tc>
          <w:tcPr>
            <w:tcW w:w="526" w:type="pct"/>
            <w:tcBorders>
              <w:top w:val="single" w:color="auto" w:sz="4" w:space="0"/>
              <w:left w:val="nil"/>
              <w:bottom w:val="single" w:color="auto" w:sz="4" w:space="0"/>
              <w:right w:val="single" w:color="auto" w:sz="4" w:space="0"/>
            </w:tcBorders>
            <w:shd w:val="clear" w:color="auto" w:fill="auto"/>
            <w:vAlign w:val="center"/>
          </w:tcPr>
          <w:p w14:paraId="13825816">
            <w:pPr>
              <w:adjustRightInd w:val="0"/>
              <w:spacing w:line="240" w:lineRule="auto"/>
              <w:jc w:val="center"/>
              <w:rPr>
                <w:rFonts w:cs="Times New Roman"/>
                <w:color w:val="000000"/>
                <w:sz w:val="21"/>
                <w:szCs w:val="21"/>
              </w:rPr>
            </w:pPr>
            <w:r>
              <w:rPr>
                <w:rFonts w:cs="Times New Roman"/>
                <w:color w:val="000000"/>
                <w:sz w:val="21"/>
                <w:szCs w:val="21"/>
              </w:rPr>
              <w:t>4745</w:t>
            </w:r>
          </w:p>
        </w:tc>
        <w:tc>
          <w:tcPr>
            <w:tcW w:w="646" w:type="pct"/>
            <w:tcBorders>
              <w:top w:val="single" w:color="auto" w:sz="4" w:space="0"/>
              <w:left w:val="nil"/>
              <w:bottom w:val="single" w:color="auto" w:sz="4" w:space="0"/>
              <w:right w:val="single" w:color="auto" w:sz="4" w:space="0"/>
            </w:tcBorders>
            <w:shd w:val="clear" w:color="auto" w:fill="auto"/>
            <w:vAlign w:val="center"/>
          </w:tcPr>
          <w:p w14:paraId="0A79F66C">
            <w:pPr>
              <w:adjustRightInd w:val="0"/>
              <w:spacing w:line="240" w:lineRule="auto"/>
              <w:jc w:val="center"/>
              <w:rPr>
                <w:rFonts w:cs="Times New Roman"/>
                <w:color w:val="000000"/>
                <w:sz w:val="21"/>
                <w:szCs w:val="21"/>
              </w:rPr>
            </w:pPr>
            <w:r>
              <w:rPr>
                <w:rFonts w:cs="Times New Roman"/>
                <w:color w:val="000000"/>
                <w:sz w:val="21"/>
                <w:szCs w:val="21"/>
              </w:rPr>
              <w:t>445</w:t>
            </w:r>
          </w:p>
        </w:tc>
        <w:tc>
          <w:tcPr>
            <w:tcW w:w="485" w:type="pct"/>
            <w:tcBorders>
              <w:top w:val="single" w:color="auto" w:sz="4" w:space="0"/>
              <w:left w:val="nil"/>
              <w:bottom w:val="single" w:color="auto" w:sz="4" w:space="0"/>
              <w:right w:val="single" w:color="auto" w:sz="4" w:space="0"/>
            </w:tcBorders>
            <w:shd w:val="clear" w:color="auto" w:fill="auto"/>
            <w:vAlign w:val="center"/>
          </w:tcPr>
          <w:p w14:paraId="03EF4A15">
            <w:pPr>
              <w:adjustRightInd w:val="0"/>
              <w:spacing w:line="240" w:lineRule="auto"/>
              <w:jc w:val="center"/>
              <w:rPr>
                <w:rFonts w:cs="Times New Roman"/>
                <w:color w:val="000000"/>
                <w:sz w:val="21"/>
                <w:szCs w:val="21"/>
              </w:rPr>
            </w:pPr>
            <w:r>
              <w:rPr>
                <w:rFonts w:cs="Times New Roman"/>
                <w:color w:val="000000"/>
                <w:sz w:val="21"/>
                <w:szCs w:val="21"/>
              </w:rPr>
              <w:t>4300</w:t>
            </w:r>
          </w:p>
        </w:tc>
        <w:tc>
          <w:tcPr>
            <w:tcW w:w="477" w:type="pct"/>
            <w:tcBorders>
              <w:top w:val="single" w:color="auto" w:sz="4" w:space="0"/>
              <w:left w:val="nil"/>
              <w:bottom w:val="single" w:color="auto" w:sz="4" w:space="0"/>
              <w:right w:val="single" w:color="auto" w:sz="4" w:space="0"/>
            </w:tcBorders>
            <w:shd w:val="clear" w:color="auto" w:fill="auto"/>
            <w:vAlign w:val="center"/>
          </w:tcPr>
          <w:p w14:paraId="0DF9A7A0">
            <w:pPr>
              <w:adjustRightInd w:val="0"/>
              <w:spacing w:line="240" w:lineRule="auto"/>
              <w:jc w:val="center"/>
              <w:rPr>
                <w:rFonts w:cs="Times New Roman"/>
                <w:color w:val="000000"/>
                <w:sz w:val="21"/>
                <w:szCs w:val="21"/>
              </w:rPr>
            </w:pPr>
            <w:r>
              <w:rPr>
                <w:rFonts w:cs="Times New Roman"/>
                <w:color w:val="000000"/>
                <w:sz w:val="21"/>
                <w:szCs w:val="21"/>
              </w:rPr>
              <w:t>9.40%</w:t>
            </w:r>
          </w:p>
        </w:tc>
        <w:tc>
          <w:tcPr>
            <w:tcW w:w="1096" w:type="pct"/>
            <w:tcBorders>
              <w:top w:val="single" w:color="auto" w:sz="4" w:space="0"/>
              <w:left w:val="nil"/>
              <w:bottom w:val="single" w:color="auto" w:sz="4" w:space="0"/>
              <w:right w:val="single" w:color="auto" w:sz="4" w:space="0"/>
            </w:tcBorders>
            <w:shd w:val="clear" w:color="auto" w:fill="auto"/>
            <w:vAlign w:val="center"/>
          </w:tcPr>
          <w:p w14:paraId="3DA06E1B">
            <w:pPr>
              <w:adjustRightInd w:val="0"/>
              <w:spacing w:line="240" w:lineRule="auto"/>
              <w:jc w:val="center"/>
              <w:rPr>
                <w:rFonts w:cs="Times New Roman"/>
                <w:color w:val="000000"/>
                <w:sz w:val="21"/>
                <w:szCs w:val="21"/>
              </w:rPr>
            </w:pPr>
            <w:r>
              <w:rPr>
                <w:rFonts w:cs="Times New Roman"/>
                <w:color w:val="000000"/>
                <w:sz w:val="21"/>
                <w:szCs w:val="21"/>
              </w:rPr>
              <w:t>COD≤50mg/L、氨氮≤5（8）mg/L总磷≤0.5mg/L、总氮≤15mg/L</w:t>
            </w:r>
          </w:p>
        </w:tc>
        <w:tc>
          <w:tcPr>
            <w:tcW w:w="469" w:type="pct"/>
            <w:tcBorders>
              <w:top w:val="single" w:color="auto" w:sz="4" w:space="0"/>
              <w:left w:val="nil"/>
              <w:bottom w:val="single" w:color="auto" w:sz="4" w:space="0"/>
              <w:right w:val="single" w:color="auto" w:sz="4" w:space="0"/>
            </w:tcBorders>
            <w:shd w:val="clear" w:color="auto" w:fill="auto"/>
            <w:vAlign w:val="center"/>
          </w:tcPr>
          <w:p w14:paraId="4EACD880">
            <w:pPr>
              <w:adjustRightInd w:val="0"/>
              <w:spacing w:line="240" w:lineRule="auto"/>
              <w:jc w:val="center"/>
              <w:rPr>
                <w:rFonts w:cs="Times New Roman"/>
                <w:color w:val="000000"/>
                <w:sz w:val="21"/>
                <w:szCs w:val="21"/>
              </w:rPr>
            </w:pPr>
            <w:r>
              <w:rPr>
                <w:rFonts w:cs="Times New Roman"/>
                <w:color w:val="000000"/>
                <w:sz w:val="21"/>
                <w:szCs w:val="21"/>
              </w:rPr>
              <w:t>1.3</w:t>
            </w:r>
          </w:p>
        </w:tc>
      </w:tr>
      <w:tr w14:paraId="6E30F649">
        <w:tblPrEx>
          <w:tblCellMar>
            <w:top w:w="0" w:type="dxa"/>
            <w:left w:w="108" w:type="dxa"/>
            <w:bottom w:w="0" w:type="dxa"/>
            <w:right w:w="108" w:type="dxa"/>
          </w:tblCellMar>
        </w:tblPrEx>
        <w:trPr>
          <w:trHeight w:val="20" w:hRule="atLeast"/>
        </w:trPr>
        <w:tc>
          <w:tcPr>
            <w:tcW w:w="252" w:type="pct"/>
            <w:tcBorders>
              <w:top w:val="single" w:color="auto" w:sz="4" w:space="0"/>
              <w:left w:val="single" w:color="auto" w:sz="4" w:space="0"/>
              <w:bottom w:val="single" w:color="auto" w:sz="4" w:space="0"/>
              <w:right w:val="single" w:color="auto" w:sz="4" w:space="0"/>
            </w:tcBorders>
            <w:shd w:val="clear" w:color="auto" w:fill="auto"/>
            <w:vAlign w:val="center"/>
          </w:tcPr>
          <w:p w14:paraId="410330CD">
            <w:pPr>
              <w:adjustRightInd w:val="0"/>
              <w:spacing w:line="240" w:lineRule="auto"/>
              <w:jc w:val="center"/>
              <w:rPr>
                <w:rFonts w:cs="Times New Roman"/>
                <w:color w:val="000000"/>
                <w:sz w:val="21"/>
                <w:szCs w:val="21"/>
              </w:rPr>
            </w:pPr>
            <w:r>
              <w:rPr>
                <w:rFonts w:cs="Times New Roman"/>
                <w:color w:val="000000"/>
                <w:sz w:val="21"/>
                <w:szCs w:val="21"/>
              </w:rPr>
              <w:t>2</w:t>
            </w:r>
          </w:p>
        </w:tc>
        <w:tc>
          <w:tcPr>
            <w:tcW w:w="605" w:type="pct"/>
            <w:tcBorders>
              <w:top w:val="single" w:color="auto" w:sz="4" w:space="0"/>
              <w:left w:val="nil"/>
              <w:bottom w:val="single" w:color="auto" w:sz="4" w:space="0"/>
              <w:right w:val="single" w:color="auto" w:sz="4" w:space="0"/>
            </w:tcBorders>
            <w:shd w:val="clear" w:color="auto" w:fill="auto"/>
            <w:vAlign w:val="center"/>
          </w:tcPr>
          <w:p w14:paraId="32740D54">
            <w:pPr>
              <w:adjustRightInd w:val="0"/>
              <w:spacing w:line="240" w:lineRule="auto"/>
              <w:jc w:val="center"/>
              <w:rPr>
                <w:rFonts w:cs="Times New Roman"/>
                <w:color w:val="000000"/>
                <w:sz w:val="21"/>
                <w:szCs w:val="21"/>
              </w:rPr>
            </w:pPr>
            <w:r>
              <w:rPr>
                <w:rFonts w:cs="Times New Roman"/>
                <w:color w:val="000000"/>
                <w:sz w:val="21"/>
                <w:szCs w:val="21"/>
              </w:rPr>
              <w:t>包头市九原水质净化厂</w:t>
            </w:r>
          </w:p>
        </w:tc>
        <w:tc>
          <w:tcPr>
            <w:tcW w:w="445" w:type="pct"/>
            <w:tcBorders>
              <w:top w:val="single" w:color="auto" w:sz="4" w:space="0"/>
              <w:left w:val="nil"/>
              <w:bottom w:val="single" w:color="auto" w:sz="4" w:space="0"/>
              <w:right w:val="single" w:color="auto" w:sz="4" w:space="0"/>
            </w:tcBorders>
            <w:shd w:val="clear" w:color="auto" w:fill="auto"/>
            <w:vAlign w:val="center"/>
          </w:tcPr>
          <w:p w14:paraId="293015BA">
            <w:pPr>
              <w:adjustRightInd w:val="0"/>
              <w:spacing w:line="240" w:lineRule="auto"/>
              <w:jc w:val="center"/>
              <w:rPr>
                <w:rFonts w:cs="Times New Roman"/>
                <w:color w:val="000000"/>
                <w:sz w:val="21"/>
                <w:szCs w:val="21"/>
              </w:rPr>
            </w:pPr>
            <w:r>
              <w:rPr>
                <w:rFonts w:cs="Times New Roman"/>
                <w:color w:val="000000"/>
                <w:sz w:val="21"/>
                <w:szCs w:val="21"/>
              </w:rPr>
              <w:t>九原区工业园区</w:t>
            </w:r>
          </w:p>
        </w:tc>
        <w:tc>
          <w:tcPr>
            <w:tcW w:w="526" w:type="pct"/>
            <w:tcBorders>
              <w:top w:val="single" w:color="auto" w:sz="4" w:space="0"/>
              <w:left w:val="nil"/>
              <w:bottom w:val="single" w:color="auto" w:sz="4" w:space="0"/>
              <w:right w:val="single" w:color="auto" w:sz="4" w:space="0"/>
            </w:tcBorders>
            <w:shd w:val="clear" w:color="auto" w:fill="auto"/>
            <w:vAlign w:val="center"/>
          </w:tcPr>
          <w:p w14:paraId="34BE3B9D">
            <w:pPr>
              <w:adjustRightInd w:val="0"/>
              <w:spacing w:line="240" w:lineRule="auto"/>
              <w:jc w:val="center"/>
              <w:rPr>
                <w:rFonts w:cs="Times New Roman"/>
                <w:color w:val="000000"/>
                <w:sz w:val="21"/>
                <w:szCs w:val="21"/>
              </w:rPr>
            </w:pPr>
            <w:r>
              <w:rPr>
                <w:rFonts w:cs="Times New Roman"/>
                <w:color w:val="000000"/>
                <w:sz w:val="21"/>
                <w:szCs w:val="21"/>
              </w:rPr>
              <w:t>397</w:t>
            </w:r>
          </w:p>
        </w:tc>
        <w:tc>
          <w:tcPr>
            <w:tcW w:w="646" w:type="pct"/>
            <w:tcBorders>
              <w:top w:val="single" w:color="auto" w:sz="4" w:space="0"/>
              <w:left w:val="nil"/>
              <w:bottom w:val="single" w:color="auto" w:sz="4" w:space="0"/>
              <w:right w:val="single" w:color="auto" w:sz="4" w:space="0"/>
            </w:tcBorders>
            <w:shd w:val="clear" w:color="auto" w:fill="auto"/>
            <w:vAlign w:val="center"/>
          </w:tcPr>
          <w:p w14:paraId="0101D4F9">
            <w:pPr>
              <w:adjustRightInd w:val="0"/>
              <w:spacing w:line="240" w:lineRule="auto"/>
              <w:jc w:val="center"/>
              <w:rPr>
                <w:rFonts w:cs="Times New Roman"/>
                <w:color w:val="000000"/>
                <w:sz w:val="21"/>
                <w:szCs w:val="21"/>
              </w:rPr>
            </w:pPr>
            <w:r>
              <w:rPr>
                <w:rFonts w:cs="Times New Roman"/>
                <w:color w:val="000000"/>
                <w:sz w:val="21"/>
                <w:szCs w:val="21"/>
              </w:rPr>
              <w:t>103</w:t>
            </w:r>
          </w:p>
        </w:tc>
        <w:tc>
          <w:tcPr>
            <w:tcW w:w="485" w:type="pct"/>
            <w:tcBorders>
              <w:top w:val="single" w:color="auto" w:sz="4" w:space="0"/>
              <w:left w:val="nil"/>
              <w:bottom w:val="single" w:color="auto" w:sz="4" w:space="0"/>
              <w:right w:val="single" w:color="auto" w:sz="4" w:space="0"/>
            </w:tcBorders>
            <w:shd w:val="clear" w:color="auto" w:fill="auto"/>
            <w:vAlign w:val="center"/>
          </w:tcPr>
          <w:p w14:paraId="3E540D41">
            <w:pPr>
              <w:adjustRightInd w:val="0"/>
              <w:spacing w:line="240" w:lineRule="auto"/>
              <w:jc w:val="center"/>
              <w:rPr>
                <w:rFonts w:cs="Times New Roman"/>
                <w:color w:val="000000"/>
                <w:sz w:val="21"/>
                <w:szCs w:val="21"/>
              </w:rPr>
            </w:pPr>
            <w:r>
              <w:rPr>
                <w:rFonts w:cs="Times New Roman"/>
                <w:color w:val="000000"/>
                <w:sz w:val="21"/>
                <w:szCs w:val="21"/>
              </w:rPr>
              <w:t>294</w:t>
            </w:r>
          </w:p>
        </w:tc>
        <w:tc>
          <w:tcPr>
            <w:tcW w:w="477" w:type="pct"/>
            <w:tcBorders>
              <w:top w:val="single" w:color="auto" w:sz="4" w:space="0"/>
              <w:left w:val="nil"/>
              <w:bottom w:val="single" w:color="auto" w:sz="4" w:space="0"/>
              <w:right w:val="single" w:color="auto" w:sz="4" w:space="0"/>
            </w:tcBorders>
            <w:shd w:val="clear" w:color="auto" w:fill="auto"/>
            <w:vAlign w:val="center"/>
          </w:tcPr>
          <w:p w14:paraId="398D4451">
            <w:pPr>
              <w:adjustRightInd w:val="0"/>
              <w:spacing w:line="240" w:lineRule="auto"/>
              <w:jc w:val="center"/>
              <w:rPr>
                <w:rFonts w:cs="Times New Roman"/>
                <w:color w:val="000000"/>
                <w:sz w:val="21"/>
                <w:szCs w:val="21"/>
              </w:rPr>
            </w:pPr>
            <w:r>
              <w:rPr>
                <w:rFonts w:cs="Times New Roman"/>
                <w:color w:val="000000"/>
                <w:sz w:val="21"/>
                <w:szCs w:val="21"/>
              </w:rPr>
              <w:t>25.90%</w:t>
            </w:r>
          </w:p>
        </w:tc>
        <w:tc>
          <w:tcPr>
            <w:tcW w:w="1096" w:type="pct"/>
            <w:tcBorders>
              <w:top w:val="single" w:color="auto" w:sz="4" w:space="0"/>
              <w:left w:val="nil"/>
              <w:bottom w:val="single" w:color="auto" w:sz="4" w:space="0"/>
              <w:right w:val="single" w:color="auto" w:sz="4" w:space="0"/>
            </w:tcBorders>
            <w:shd w:val="clear" w:color="auto" w:fill="auto"/>
            <w:vAlign w:val="center"/>
          </w:tcPr>
          <w:p w14:paraId="7B82A439">
            <w:pPr>
              <w:adjustRightInd w:val="0"/>
              <w:spacing w:line="240" w:lineRule="auto"/>
              <w:jc w:val="center"/>
              <w:rPr>
                <w:rFonts w:cs="Times New Roman"/>
                <w:color w:val="000000"/>
                <w:sz w:val="21"/>
                <w:szCs w:val="21"/>
              </w:rPr>
            </w:pPr>
            <w:r>
              <w:rPr>
                <w:rFonts w:cs="Times New Roman"/>
                <w:color w:val="000000"/>
                <w:sz w:val="21"/>
                <w:szCs w:val="21"/>
              </w:rPr>
              <w:t>一级A标准（GB18918-2002)</w:t>
            </w:r>
          </w:p>
        </w:tc>
        <w:tc>
          <w:tcPr>
            <w:tcW w:w="469" w:type="pct"/>
            <w:tcBorders>
              <w:top w:val="single" w:color="auto" w:sz="4" w:space="0"/>
              <w:left w:val="nil"/>
              <w:bottom w:val="single" w:color="auto" w:sz="4" w:space="0"/>
              <w:right w:val="single" w:color="auto" w:sz="4" w:space="0"/>
            </w:tcBorders>
            <w:shd w:val="clear" w:color="auto" w:fill="auto"/>
            <w:vAlign w:val="center"/>
          </w:tcPr>
          <w:p w14:paraId="5DE325E0">
            <w:pPr>
              <w:adjustRightInd w:val="0"/>
              <w:spacing w:line="240" w:lineRule="auto"/>
              <w:jc w:val="center"/>
              <w:rPr>
                <w:rFonts w:cs="Times New Roman"/>
                <w:color w:val="000000"/>
                <w:sz w:val="21"/>
                <w:szCs w:val="21"/>
              </w:rPr>
            </w:pPr>
            <w:r>
              <w:rPr>
                <w:rFonts w:cs="Times New Roman"/>
                <w:color w:val="000000"/>
                <w:sz w:val="21"/>
                <w:szCs w:val="21"/>
              </w:rPr>
              <w:t>1.5</w:t>
            </w:r>
          </w:p>
        </w:tc>
      </w:tr>
      <w:tr w14:paraId="3B8F1E1B">
        <w:tblPrEx>
          <w:tblCellMar>
            <w:top w:w="0" w:type="dxa"/>
            <w:left w:w="108" w:type="dxa"/>
            <w:bottom w:w="0" w:type="dxa"/>
            <w:right w:w="108" w:type="dxa"/>
          </w:tblCellMar>
        </w:tblPrEx>
        <w:trPr>
          <w:trHeight w:val="20" w:hRule="atLeast"/>
        </w:trPr>
        <w:tc>
          <w:tcPr>
            <w:tcW w:w="1302"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67654EA5">
            <w:pPr>
              <w:adjustRightInd w:val="0"/>
              <w:spacing w:line="240" w:lineRule="auto"/>
              <w:jc w:val="center"/>
              <w:rPr>
                <w:rFonts w:cs="Times New Roman"/>
                <w:color w:val="000000"/>
                <w:sz w:val="21"/>
                <w:szCs w:val="21"/>
              </w:rPr>
            </w:pPr>
            <w:r>
              <w:rPr>
                <w:rFonts w:cs="Times New Roman"/>
                <w:color w:val="000000"/>
                <w:sz w:val="21"/>
                <w:szCs w:val="21"/>
              </w:rPr>
              <w:t>合计</w:t>
            </w:r>
          </w:p>
        </w:tc>
        <w:tc>
          <w:tcPr>
            <w:tcW w:w="526" w:type="pct"/>
            <w:tcBorders>
              <w:top w:val="single" w:color="auto" w:sz="4" w:space="0"/>
              <w:left w:val="nil"/>
              <w:bottom w:val="single" w:color="auto" w:sz="4" w:space="0"/>
              <w:right w:val="single" w:color="auto" w:sz="4" w:space="0"/>
            </w:tcBorders>
            <w:shd w:val="clear" w:color="auto" w:fill="auto"/>
            <w:vAlign w:val="center"/>
          </w:tcPr>
          <w:p w14:paraId="34870129">
            <w:pPr>
              <w:adjustRightInd w:val="0"/>
              <w:spacing w:line="240" w:lineRule="auto"/>
              <w:jc w:val="center"/>
              <w:rPr>
                <w:rFonts w:cs="Times New Roman"/>
                <w:color w:val="000000"/>
                <w:sz w:val="21"/>
                <w:szCs w:val="21"/>
              </w:rPr>
            </w:pPr>
            <w:r>
              <w:rPr>
                <w:rFonts w:cs="Times New Roman"/>
                <w:color w:val="000000"/>
                <w:sz w:val="21"/>
                <w:szCs w:val="21"/>
              </w:rPr>
              <w:t>5142</w:t>
            </w:r>
          </w:p>
        </w:tc>
        <w:tc>
          <w:tcPr>
            <w:tcW w:w="646" w:type="pct"/>
            <w:tcBorders>
              <w:top w:val="single" w:color="auto" w:sz="4" w:space="0"/>
              <w:left w:val="nil"/>
              <w:bottom w:val="single" w:color="auto" w:sz="4" w:space="0"/>
              <w:right w:val="single" w:color="auto" w:sz="4" w:space="0"/>
            </w:tcBorders>
            <w:shd w:val="clear" w:color="auto" w:fill="auto"/>
            <w:vAlign w:val="center"/>
          </w:tcPr>
          <w:p w14:paraId="3A4446FB">
            <w:pPr>
              <w:adjustRightInd w:val="0"/>
              <w:spacing w:line="240" w:lineRule="auto"/>
              <w:jc w:val="center"/>
              <w:rPr>
                <w:rFonts w:cs="Times New Roman"/>
                <w:color w:val="000000"/>
                <w:sz w:val="21"/>
                <w:szCs w:val="21"/>
              </w:rPr>
            </w:pPr>
            <w:r>
              <w:rPr>
                <w:rFonts w:cs="Times New Roman"/>
                <w:color w:val="000000"/>
                <w:sz w:val="21"/>
                <w:szCs w:val="21"/>
              </w:rPr>
              <w:t>548</w:t>
            </w:r>
          </w:p>
        </w:tc>
        <w:tc>
          <w:tcPr>
            <w:tcW w:w="485" w:type="pct"/>
            <w:tcBorders>
              <w:top w:val="single" w:color="auto" w:sz="4" w:space="0"/>
              <w:left w:val="nil"/>
              <w:bottom w:val="single" w:color="auto" w:sz="4" w:space="0"/>
              <w:right w:val="single" w:color="auto" w:sz="4" w:space="0"/>
            </w:tcBorders>
            <w:shd w:val="clear" w:color="auto" w:fill="auto"/>
            <w:vAlign w:val="center"/>
          </w:tcPr>
          <w:p w14:paraId="6863D0CA">
            <w:pPr>
              <w:adjustRightInd w:val="0"/>
              <w:spacing w:line="240" w:lineRule="auto"/>
              <w:jc w:val="center"/>
              <w:rPr>
                <w:rFonts w:cs="Times New Roman"/>
                <w:color w:val="000000"/>
                <w:sz w:val="21"/>
                <w:szCs w:val="21"/>
              </w:rPr>
            </w:pPr>
            <w:r>
              <w:rPr>
                <w:rFonts w:cs="Times New Roman"/>
                <w:color w:val="000000"/>
                <w:sz w:val="21"/>
                <w:szCs w:val="21"/>
              </w:rPr>
              <w:t>4594</w:t>
            </w:r>
          </w:p>
        </w:tc>
        <w:tc>
          <w:tcPr>
            <w:tcW w:w="2042" w:type="pct"/>
            <w:gridSpan w:val="3"/>
            <w:tcBorders>
              <w:top w:val="single" w:color="auto" w:sz="4" w:space="0"/>
              <w:left w:val="nil"/>
              <w:bottom w:val="single" w:color="auto" w:sz="4" w:space="0"/>
              <w:right w:val="single" w:color="auto" w:sz="4" w:space="0"/>
            </w:tcBorders>
            <w:shd w:val="clear" w:color="auto" w:fill="auto"/>
            <w:vAlign w:val="center"/>
          </w:tcPr>
          <w:p w14:paraId="584DCBC5">
            <w:pPr>
              <w:adjustRightInd w:val="0"/>
              <w:spacing w:line="240" w:lineRule="auto"/>
              <w:jc w:val="center"/>
              <w:rPr>
                <w:rFonts w:cs="Times New Roman"/>
                <w:color w:val="000000"/>
                <w:sz w:val="21"/>
                <w:szCs w:val="21"/>
              </w:rPr>
            </w:pPr>
            <w:r>
              <w:rPr>
                <w:rFonts w:cs="Times New Roman"/>
                <w:color w:val="000000"/>
                <w:sz w:val="21"/>
                <w:szCs w:val="21"/>
              </w:rPr>
              <w:t>10.60%</w:t>
            </w:r>
          </w:p>
        </w:tc>
      </w:tr>
    </w:tbl>
    <w:p w14:paraId="07776956">
      <w:pPr>
        <w:widowControl/>
        <w:adjustRightInd w:val="0"/>
        <w:ind w:firstLine="560" w:firstLineChars="200"/>
        <w:rPr>
          <w:rFonts w:cs="Times New Roman"/>
          <w:sz w:val="28"/>
          <w:szCs w:val="28"/>
        </w:rPr>
        <w:sectPr>
          <w:pgSz w:w="16838" w:h="11906" w:orient="landscape"/>
          <w:pgMar w:top="1800" w:right="1440" w:bottom="1800" w:left="1440" w:header="851" w:footer="992" w:gutter="0"/>
          <w:cols w:space="425" w:num="1"/>
          <w:docGrid w:type="lines" w:linePitch="326" w:charSpace="0"/>
        </w:sectPr>
      </w:pPr>
    </w:p>
    <w:bookmarkEnd w:id="99"/>
    <w:p w14:paraId="66D8A8DE">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4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⑷</w:t>
      </w:r>
      <w:r>
        <w:rPr>
          <w:rFonts w:cs="Times New Roman"/>
          <w:b/>
          <w:bCs/>
          <w:sz w:val="28"/>
          <w:szCs w:val="28"/>
        </w:rPr>
        <w:fldChar w:fldCharType="end"/>
      </w:r>
      <w:r>
        <w:rPr>
          <w:rFonts w:hint="eastAsia" w:cs="Times New Roman"/>
          <w:b/>
          <w:bCs/>
          <w:sz w:val="28"/>
          <w:szCs w:val="28"/>
        </w:rPr>
        <w:t>总可供水量</w:t>
      </w:r>
    </w:p>
    <w:p w14:paraId="20D32CC9">
      <w:pPr>
        <w:widowControl/>
        <w:adjustRightInd w:val="0"/>
        <w:ind w:firstLine="560" w:firstLineChars="200"/>
        <w:rPr>
          <w:rFonts w:cs="Times New Roman"/>
          <w:sz w:val="28"/>
          <w:szCs w:val="28"/>
        </w:rPr>
      </w:pPr>
      <w:r>
        <w:rPr>
          <w:rFonts w:hint="eastAsia" w:cs="Times New Roman"/>
          <w:sz w:val="28"/>
          <w:szCs w:val="28"/>
        </w:rPr>
        <w:t>九原区规划水平年内总可供水量主要由地表水（黄河水）、地下水和再生水三部分组成。根据包头市污水处理厂2023年运行监测记录资料表明，现状年（2023年）南郊污水处理厂和包头市九原水质净化厂污水收集量为5142万m</w:t>
      </w:r>
      <w:r>
        <w:rPr>
          <w:rFonts w:hint="eastAsia" w:cs="Times New Roman"/>
          <w:sz w:val="28"/>
          <w:szCs w:val="28"/>
          <w:vertAlign w:val="superscript"/>
        </w:rPr>
        <w:t>3</w:t>
      </w:r>
      <w:r>
        <w:rPr>
          <w:rFonts w:hint="eastAsia" w:cs="Times New Roman"/>
          <w:sz w:val="28"/>
          <w:szCs w:val="28"/>
        </w:rPr>
        <w:t>，中水输出利用量548万m</w:t>
      </w:r>
      <w:r>
        <w:rPr>
          <w:rFonts w:hint="eastAsia" w:cs="Times New Roman"/>
          <w:sz w:val="28"/>
          <w:szCs w:val="28"/>
          <w:vertAlign w:val="superscript"/>
        </w:rPr>
        <w:t>3</w:t>
      </w:r>
      <w:r>
        <w:rPr>
          <w:rFonts w:hint="eastAsia" w:cs="Times New Roman"/>
          <w:sz w:val="28"/>
          <w:szCs w:val="28"/>
        </w:rPr>
        <w:t>。根据九原区水务局提供资料，现状年九原区中水利用指标为1276万m</w:t>
      </w:r>
      <w:r>
        <w:rPr>
          <w:rFonts w:hint="eastAsia" w:cs="Times New Roman"/>
          <w:sz w:val="28"/>
          <w:szCs w:val="28"/>
          <w:vertAlign w:val="superscript"/>
        </w:rPr>
        <w:t>3</w:t>
      </w:r>
      <w:r>
        <w:rPr>
          <w:rFonts w:hint="eastAsia" w:cs="Times New Roman"/>
          <w:sz w:val="28"/>
          <w:szCs w:val="28"/>
        </w:rPr>
        <w:t>。九原区2</w:t>
      </w:r>
      <w:r>
        <w:rPr>
          <w:rFonts w:cs="Times New Roman"/>
          <w:sz w:val="28"/>
          <w:szCs w:val="28"/>
        </w:rPr>
        <w:t>03</w:t>
      </w:r>
      <w:r>
        <w:rPr>
          <w:rFonts w:hint="eastAsia" w:cs="Times New Roman"/>
          <w:sz w:val="28"/>
          <w:szCs w:val="28"/>
        </w:rPr>
        <w:t>5</w:t>
      </w:r>
      <w:r>
        <w:rPr>
          <w:rFonts w:cs="Times New Roman"/>
          <w:sz w:val="28"/>
          <w:szCs w:val="28"/>
        </w:rPr>
        <w:t>可供水量</w:t>
      </w:r>
      <w:r>
        <w:rPr>
          <w:rFonts w:hint="eastAsia" w:cs="Times New Roman"/>
          <w:sz w:val="28"/>
          <w:szCs w:val="28"/>
        </w:rPr>
        <w:t>为</w:t>
      </w:r>
      <w:r>
        <w:rPr>
          <w:rFonts w:cs="Times New Roman"/>
          <w:sz w:val="28"/>
          <w:szCs w:val="28"/>
        </w:rPr>
        <w:t>8215万m</w:t>
      </w:r>
      <w:r>
        <w:rPr>
          <w:rFonts w:cs="Times New Roman"/>
          <w:sz w:val="28"/>
          <w:szCs w:val="28"/>
          <w:vertAlign w:val="superscript"/>
        </w:rPr>
        <w:t>3</w:t>
      </w:r>
      <w:r>
        <w:rPr>
          <w:rFonts w:hint="eastAsia" w:cs="Times New Roman"/>
          <w:sz w:val="28"/>
          <w:szCs w:val="28"/>
        </w:rPr>
        <w:t>。</w:t>
      </w:r>
    </w:p>
    <w:p w14:paraId="6069D038">
      <w:pPr>
        <w:adjustRightInd w:val="0"/>
        <w:spacing w:line="240" w:lineRule="auto"/>
        <w:jc w:val="center"/>
        <w:rPr>
          <w:rFonts w:cs="Times New Roman"/>
          <w:b/>
          <w:szCs w:val="21"/>
        </w:rPr>
      </w:pPr>
      <w:bookmarkStart w:id="100" w:name="_Hlk54718298"/>
      <w:r>
        <w:rPr>
          <w:rFonts w:cs="Times New Roman"/>
          <w:b/>
          <w:szCs w:val="21"/>
        </w:rPr>
        <w:t>表</w:t>
      </w:r>
      <w:r>
        <w:rPr>
          <w:rFonts w:hint="eastAsia" w:cs="Times New Roman"/>
          <w:b/>
          <w:szCs w:val="21"/>
        </w:rPr>
        <w:t>4</w:t>
      </w:r>
      <w:r>
        <w:rPr>
          <w:rFonts w:cs="Times New Roman"/>
          <w:b/>
          <w:szCs w:val="21"/>
        </w:rPr>
        <w:t>-</w:t>
      </w:r>
      <w:r>
        <w:rPr>
          <w:rFonts w:hint="eastAsia" w:cs="Times New Roman"/>
          <w:b/>
          <w:szCs w:val="21"/>
        </w:rPr>
        <w:t>9</w:t>
      </w:r>
      <w:r>
        <w:rPr>
          <w:rFonts w:cs="Times New Roman"/>
          <w:b/>
          <w:szCs w:val="21"/>
        </w:rPr>
        <w:t xml:space="preserve">  规划水平年可供水量  单位：万m</w:t>
      </w:r>
      <w:r>
        <w:rPr>
          <w:rFonts w:cs="Times New Roman"/>
          <w:b/>
          <w:szCs w:val="21"/>
          <w:vertAlign w:val="superscript"/>
        </w:rPr>
        <w:t>3</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9"/>
        <w:gridCol w:w="2446"/>
        <w:gridCol w:w="1519"/>
        <w:gridCol w:w="1519"/>
        <w:gridCol w:w="1519"/>
      </w:tblGrid>
      <w:tr w14:paraId="18C7A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1" w:type="pct"/>
            <w:shd w:val="clear" w:color="auto" w:fill="auto"/>
            <w:noWrap/>
            <w:vAlign w:val="center"/>
          </w:tcPr>
          <w:p w14:paraId="5665CCD5">
            <w:pPr>
              <w:widowControl/>
              <w:adjustRightInd w:val="0"/>
              <w:spacing w:line="240" w:lineRule="auto"/>
              <w:jc w:val="center"/>
              <w:rPr>
                <w:rFonts w:eastAsia="黑体" w:cs="Times New Roman"/>
                <w:szCs w:val="24"/>
              </w:rPr>
            </w:pPr>
            <w:bookmarkStart w:id="101" w:name="_Hlk54689285"/>
            <w:r>
              <w:rPr>
                <w:rFonts w:eastAsia="黑体" w:cs="Times New Roman"/>
                <w:szCs w:val="24"/>
              </w:rPr>
              <w:t>年份</w:t>
            </w:r>
          </w:p>
        </w:tc>
        <w:tc>
          <w:tcPr>
            <w:tcW w:w="1435" w:type="pct"/>
            <w:shd w:val="clear" w:color="auto" w:fill="auto"/>
            <w:noWrap/>
            <w:vAlign w:val="center"/>
          </w:tcPr>
          <w:p w14:paraId="1A6FF514">
            <w:pPr>
              <w:widowControl/>
              <w:adjustRightInd w:val="0"/>
              <w:spacing w:line="240" w:lineRule="auto"/>
              <w:jc w:val="center"/>
              <w:rPr>
                <w:rFonts w:eastAsia="黑体" w:cs="Times New Roman"/>
                <w:szCs w:val="24"/>
              </w:rPr>
            </w:pPr>
            <w:r>
              <w:rPr>
                <w:rFonts w:eastAsia="黑体" w:cs="Times New Roman"/>
                <w:szCs w:val="24"/>
              </w:rPr>
              <w:t>地下水可供水量</w:t>
            </w:r>
          </w:p>
        </w:tc>
        <w:tc>
          <w:tcPr>
            <w:tcW w:w="891" w:type="pct"/>
            <w:shd w:val="clear" w:color="auto" w:fill="auto"/>
            <w:noWrap/>
            <w:vAlign w:val="center"/>
          </w:tcPr>
          <w:p w14:paraId="5419B0BE">
            <w:pPr>
              <w:widowControl/>
              <w:adjustRightInd w:val="0"/>
              <w:spacing w:line="240" w:lineRule="auto"/>
              <w:jc w:val="center"/>
              <w:rPr>
                <w:rFonts w:eastAsia="黑体" w:cs="Times New Roman"/>
                <w:szCs w:val="24"/>
              </w:rPr>
            </w:pPr>
            <w:r>
              <w:rPr>
                <w:rFonts w:eastAsia="黑体" w:cs="Times New Roman"/>
                <w:szCs w:val="24"/>
              </w:rPr>
              <w:t>地表水</w:t>
            </w:r>
          </w:p>
        </w:tc>
        <w:tc>
          <w:tcPr>
            <w:tcW w:w="891" w:type="pct"/>
            <w:shd w:val="clear" w:color="auto" w:fill="auto"/>
            <w:noWrap/>
            <w:vAlign w:val="center"/>
          </w:tcPr>
          <w:p w14:paraId="789E56DD">
            <w:pPr>
              <w:widowControl/>
              <w:adjustRightInd w:val="0"/>
              <w:spacing w:line="240" w:lineRule="auto"/>
              <w:jc w:val="center"/>
              <w:rPr>
                <w:rFonts w:eastAsia="黑体" w:cs="Times New Roman"/>
                <w:szCs w:val="24"/>
              </w:rPr>
            </w:pPr>
            <w:r>
              <w:rPr>
                <w:rFonts w:eastAsia="黑体" w:cs="Times New Roman"/>
                <w:szCs w:val="24"/>
              </w:rPr>
              <w:t>再生水</w:t>
            </w:r>
          </w:p>
        </w:tc>
        <w:tc>
          <w:tcPr>
            <w:tcW w:w="891" w:type="pct"/>
            <w:shd w:val="clear" w:color="auto" w:fill="auto"/>
            <w:noWrap/>
            <w:vAlign w:val="center"/>
          </w:tcPr>
          <w:p w14:paraId="6D77676D">
            <w:pPr>
              <w:widowControl/>
              <w:adjustRightInd w:val="0"/>
              <w:spacing w:line="240" w:lineRule="auto"/>
              <w:jc w:val="center"/>
              <w:rPr>
                <w:rFonts w:eastAsia="黑体" w:cs="Times New Roman"/>
                <w:szCs w:val="24"/>
              </w:rPr>
            </w:pPr>
            <w:r>
              <w:rPr>
                <w:rFonts w:eastAsia="黑体" w:cs="Times New Roman"/>
                <w:szCs w:val="24"/>
              </w:rPr>
              <w:t>合计</w:t>
            </w:r>
          </w:p>
        </w:tc>
      </w:tr>
      <w:tr w14:paraId="2A0F1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91" w:type="pct"/>
            <w:shd w:val="clear" w:color="auto" w:fill="auto"/>
            <w:noWrap/>
            <w:vAlign w:val="center"/>
          </w:tcPr>
          <w:p w14:paraId="71B9E299">
            <w:pPr>
              <w:widowControl/>
              <w:adjustRightInd w:val="0"/>
              <w:spacing w:line="240" w:lineRule="auto"/>
              <w:jc w:val="center"/>
              <w:rPr>
                <w:rFonts w:eastAsia="黑体" w:cs="Times New Roman"/>
                <w:szCs w:val="24"/>
              </w:rPr>
            </w:pPr>
            <w:r>
              <w:rPr>
                <w:rFonts w:eastAsia="黑体" w:cs="Times New Roman"/>
                <w:szCs w:val="24"/>
              </w:rPr>
              <w:t>203</w:t>
            </w:r>
            <w:r>
              <w:rPr>
                <w:rFonts w:hint="eastAsia" w:eastAsia="黑体" w:cs="Times New Roman"/>
                <w:szCs w:val="24"/>
              </w:rPr>
              <w:t>5</w:t>
            </w:r>
            <w:r>
              <w:rPr>
                <w:rFonts w:eastAsia="黑体" w:cs="Times New Roman"/>
                <w:szCs w:val="24"/>
              </w:rPr>
              <w:t>年</w:t>
            </w:r>
          </w:p>
        </w:tc>
        <w:tc>
          <w:tcPr>
            <w:tcW w:w="1435" w:type="pct"/>
            <w:shd w:val="clear" w:color="auto" w:fill="auto"/>
            <w:noWrap/>
            <w:vAlign w:val="center"/>
          </w:tcPr>
          <w:p w14:paraId="0336F158">
            <w:pPr>
              <w:widowControl/>
              <w:adjustRightInd w:val="0"/>
              <w:spacing w:line="240" w:lineRule="auto"/>
              <w:jc w:val="center"/>
              <w:rPr>
                <w:rFonts w:eastAsia="黑体" w:cs="Times New Roman"/>
                <w:szCs w:val="24"/>
              </w:rPr>
            </w:pPr>
            <w:r>
              <w:rPr>
                <w:rFonts w:eastAsia="黑体" w:cs="Times New Roman"/>
                <w:szCs w:val="24"/>
              </w:rPr>
              <w:t>2085.00</w:t>
            </w:r>
          </w:p>
        </w:tc>
        <w:tc>
          <w:tcPr>
            <w:tcW w:w="891" w:type="pct"/>
            <w:shd w:val="clear" w:color="auto" w:fill="auto"/>
            <w:noWrap/>
            <w:vAlign w:val="center"/>
          </w:tcPr>
          <w:p w14:paraId="6DD57E61">
            <w:pPr>
              <w:widowControl/>
              <w:adjustRightInd w:val="0"/>
              <w:spacing w:line="240" w:lineRule="auto"/>
              <w:jc w:val="center"/>
              <w:rPr>
                <w:rFonts w:eastAsia="黑体" w:cs="Times New Roman"/>
                <w:szCs w:val="24"/>
              </w:rPr>
            </w:pPr>
            <w:r>
              <w:rPr>
                <w:rFonts w:eastAsia="黑体" w:cs="Times New Roman"/>
                <w:szCs w:val="24"/>
              </w:rPr>
              <w:t>4854.00</w:t>
            </w:r>
          </w:p>
        </w:tc>
        <w:tc>
          <w:tcPr>
            <w:tcW w:w="891" w:type="pct"/>
            <w:shd w:val="clear" w:color="auto" w:fill="auto"/>
            <w:noWrap/>
            <w:vAlign w:val="center"/>
          </w:tcPr>
          <w:p w14:paraId="325E3F09">
            <w:pPr>
              <w:widowControl/>
              <w:adjustRightInd w:val="0"/>
              <w:spacing w:line="240" w:lineRule="auto"/>
              <w:jc w:val="center"/>
              <w:rPr>
                <w:rFonts w:eastAsia="黑体" w:cs="Times New Roman"/>
                <w:szCs w:val="24"/>
              </w:rPr>
            </w:pPr>
            <w:r>
              <w:rPr>
                <w:rFonts w:eastAsia="黑体" w:cs="Times New Roman"/>
                <w:szCs w:val="24"/>
              </w:rPr>
              <w:t>1276.00</w:t>
            </w:r>
          </w:p>
        </w:tc>
        <w:tc>
          <w:tcPr>
            <w:tcW w:w="891" w:type="pct"/>
            <w:shd w:val="clear" w:color="auto" w:fill="auto"/>
            <w:noWrap/>
            <w:vAlign w:val="center"/>
          </w:tcPr>
          <w:p w14:paraId="64A5071F">
            <w:pPr>
              <w:widowControl/>
              <w:adjustRightInd w:val="0"/>
              <w:spacing w:line="240" w:lineRule="auto"/>
              <w:jc w:val="center"/>
              <w:rPr>
                <w:rFonts w:eastAsia="黑体" w:cs="Times New Roman"/>
                <w:szCs w:val="24"/>
              </w:rPr>
            </w:pPr>
            <w:r>
              <w:rPr>
                <w:rFonts w:eastAsia="黑体" w:cs="Times New Roman"/>
                <w:szCs w:val="24"/>
              </w:rPr>
              <w:t>8215.00</w:t>
            </w:r>
          </w:p>
        </w:tc>
      </w:tr>
      <w:bookmarkEnd w:id="100"/>
      <w:bookmarkEnd w:id="101"/>
    </w:tbl>
    <w:p w14:paraId="416FFDC8">
      <w:pPr>
        <w:pStyle w:val="4"/>
        <w:widowControl/>
        <w:adjustRightInd w:val="0"/>
        <w:spacing w:before="156" w:beforeLines="50" w:after="0" w:line="360" w:lineRule="auto"/>
        <w:jc w:val="left"/>
        <w:rPr>
          <w:rFonts w:eastAsia="黑体" w:cs="Times New Roman"/>
          <w:b w:val="0"/>
          <w:bCs w:val="0"/>
          <w:kern w:val="0"/>
          <w:sz w:val="28"/>
          <w:szCs w:val="28"/>
        </w:rPr>
      </w:pPr>
      <w:bookmarkStart w:id="102" w:name="_Toc198652047"/>
      <w:r>
        <w:rPr>
          <w:rFonts w:eastAsia="黑体" w:cs="Times New Roman"/>
          <w:b w:val="0"/>
          <w:bCs w:val="0"/>
          <w:kern w:val="0"/>
          <w:sz w:val="28"/>
          <w:szCs w:val="28"/>
        </w:rPr>
        <w:t>4.2.4水资源供需平衡分析</w:t>
      </w:r>
      <w:bookmarkEnd w:id="102"/>
    </w:p>
    <w:p w14:paraId="266B158C">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基本原则</w:t>
      </w:r>
    </w:p>
    <w:p w14:paraId="3A94BD8B">
      <w:pPr>
        <w:widowControl/>
        <w:adjustRightInd w:val="0"/>
        <w:ind w:firstLine="560" w:firstLineChars="200"/>
        <w:rPr>
          <w:rFonts w:cs="Times New Roman"/>
          <w:sz w:val="28"/>
          <w:szCs w:val="28"/>
        </w:rPr>
      </w:pPr>
      <w:r>
        <w:rPr>
          <w:rFonts w:hint="eastAsia" w:cs="Times New Roman"/>
          <w:sz w:val="28"/>
          <w:szCs w:val="28"/>
        </w:rPr>
        <w:t>根据规划水平年的经济社会发展目标要求，以及当地水资源情况，协调好经济社会发展与水资源开发利用的关系；对于计算单元内部首先遵循节约用水、挖掘配套原则，通过节约用水和提高现有工程利用效率最大程度满足供需平衡；对于有区域调水的工程，其水资源配置要遵循</w:t>
      </w:r>
      <w:r>
        <w:rPr>
          <w:rFonts w:cs="Times New Roman"/>
          <w:sz w:val="28"/>
          <w:szCs w:val="28"/>
        </w:rPr>
        <w:t>“</w:t>
      </w:r>
      <w:r>
        <w:rPr>
          <w:rFonts w:hint="eastAsia" w:cs="Times New Roman"/>
          <w:sz w:val="28"/>
          <w:szCs w:val="28"/>
        </w:rPr>
        <w:t>先节水后调水、先治污后通水、先环保后用水的原则；用水优先次序为优先退还河道基本生态水量和地下水挤占量，其次保障城乡生活用水，再次是农业用水；工程供水次序根据用水户的行业特点、供水工程体系及调度规程，合理制定规则。</w:t>
      </w:r>
    </w:p>
    <w:p w14:paraId="56FE3F34">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供需平衡分析</w:t>
      </w:r>
    </w:p>
    <w:p w14:paraId="70520A23">
      <w:pPr>
        <w:widowControl/>
        <w:adjustRightInd w:val="0"/>
        <w:ind w:firstLine="560" w:firstLineChars="200"/>
        <w:rPr>
          <w:rFonts w:cs="Times New Roman"/>
          <w:sz w:val="28"/>
          <w:szCs w:val="28"/>
        </w:rPr>
      </w:pPr>
      <w:r>
        <w:rPr>
          <w:rFonts w:hint="eastAsia" w:cs="Times New Roman"/>
          <w:sz w:val="28"/>
          <w:szCs w:val="28"/>
        </w:rPr>
        <w:t>由表4-1</w:t>
      </w:r>
      <w:r>
        <w:rPr>
          <w:rFonts w:cs="Times New Roman"/>
          <w:sz w:val="28"/>
          <w:szCs w:val="28"/>
        </w:rPr>
        <w:t>0</w:t>
      </w:r>
      <w:r>
        <w:rPr>
          <w:rFonts w:hint="eastAsia" w:cs="Times New Roman"/>
          <w:sz w:val="28"/>
          <w:szCs w:val="28"/>
        </w:rPr>
        <w:t>可以看出，九原区规划年2</w:t>
      </w:r>
      <w:r>
        <w:rPr>
          <w:rFonts w:cs="Times New Roman"/>
          <w:sz w:val="28"/>
          <w:szCs w:val="28"/>
        </w:rPr>
        <w:t>0</w:t>
      </w:r>
      <w:r>
        <w:rPr>
          <w:rFonts w:hint="eastAsia" w:cs="Times New Roman"/>
          <w:sz w:val="28"/>
          <w:szCs w:val="28"/>
        </w:rPr>
        <w:t>3</w:t>
      </w:r>
      <w:r>
        <w:rPr>
          <w:rFonts w:cs="Times New Roman"/>
          <w:sz w:val="28"/>
          <w:szCs w:val="28"/>
        </w:rPr>
        <w:t>5</w:t>
      </w:r>
      <w:r>
        <w:rPr>
          <w:rFonts w:hint="eastAsia" w:cs="Times New Roman"/>
          <w:sz w:val="28"/>
          <w:szCs w:val="28"/>
        </w:rPr>
        <w:t>年需水量为</w:t>
      </w:r>
      <w:bookmarkStart w:id="103" w:name="_Hlk69395273"/>
      <w:r>
        <w:rPr>
          <w:rFonts w:hint="eastAsia" w:cs="Times New Roman"/>
          <w:sz w:val="28"/>
          <w:szCs w:val="28"/>
        </w:rPr>
        <w:t>10013.7万</w:t>
      </w:r>
      <w:r>
        <w:rPr>
          <w:rFonts w:cs="Times New Roman"/>
          <w:sz w:val="28"/>
          <w:szCs w:val="28"/>
        </w:rPr>
        <w:t>m</w:t>
      </w:r>
      <w:r>
        <w:rPr>
          <w:rFonts w:cs="Times New Roman"/>
          <w:sz w:val="28"/>
          <w:szCs w:val="28"/>
          <w:vertAlign w:val="superscript"/>
        </w:rPr>
        <w:t>3</w:t>
      </w:r>
      <w:bookmarkEnd w:id="103"/>
      <w:r>
        <w:rPr>
          <w:rFonts w:hint="eastAsia" w:cs="Times New Roman"/>
          <w:sz w:val="28"/>
          <w:szCs w:val="28"/>
        </w:rPr>
        <w:t>，可供水量为</w:t>
      </w:r>
      <w:r>
        <w:rPr>
          <w:rFonts w:cs="Times New Roman"/>
          <w:sz w:val="28"/>
          <w:szCs w:val="28"/>
        </w:rPr>
        <w:t>8215</w:t>
      </w:r>
      <w:r>
        <w:rPr>
          <w:rFonts w:hint="eastAsia" w:cs="Times New Roman"/>
          <w:sz w:val="28"/>
          <w:szCs w:val="28"/>
        </w:rPr>
        <w:t>万</w:t>
      </w:r>
      <w:r>
        <w:rPr>
          <w:rFonts w:cs="Times New Roman"/>
          <w:sz w:val="28"/>
          <w:szCs w:val="28"/>
        </w:rPr>
        <w:t>m</w:t>
      </w:r>
      <w:r>
        <w:rPr>
          <w:rFonts w:cs="Times New Roman"/>
          <w:sz w:val="28"/>
          <w:szCs w:val="28"/>
          <w:vertAlign w:val="superscript"/>
        </w:rPr>
        <w:t>3</w:t>
      </w:r>
      <w:r>
        <w:rPr>
          <w:rFonts w:hint="eastAsia" w:cs="Times New Roman"/>
          <w:sz w:val="28"/>
          <w:szCs w:val="28"/>
        </w:rPr>
        <w:t>，缺水量1798.70万</w:t>
      </w:r>
      <w:r>
        <w:rPr>
          <w:rFonts w:cs="Times New Roman"/>
          <w:sz w:val="28"/>
          <w:szCs w:val="28"/>
        </w:rPr>
        <w:t>m</w:t>
      </w:r>
      <w:r>
        <w:rPr>
          <w:rFonts w:cs="Times New Roman"/>
          <w:sz w:val="28"/>
          <w:szCs w:val="28"/>
          <w:vertAlign w:val="superscript"/>
        </w:rPr>
        <w:t>3</w:t>
      </w:r>
      <w:r>
        <w:rPr>
          <w:rFonts w:hint="eastAsia" w:cs="Times New Roman"/>
          <w:sz w:val="28"/>
          <w:szCs w:val="28"/>
        </w:rPr>
        <w:t>。可供水量并不能满足规划年当地社会经济发展的用水需求。</w:t>
      </w:r>
    </w:p>
    <w:p w14:paraId="5A5DF0BF">
      <w:pPr>
        <w:widowControl/>
        <w:adjustRightInd w:val="0"/>
        <w:ind w:firstLine="560" w:firstLineChars="200"/>
        <w:rPr>
          <w:rFonts w:cs="Times New Roman"/>
          <w:sz w:val="28"/>
          <w:szCs w:val="28"/>
        </w:rPr>
      </w:pPr>
    </w:p>
    <w:p w14:paraId="7EDD09F0">
      <w:pPr>
        <w:widowControl/>
        <w:adjustRightInd w:val="0"/>
        <w:ind w:firstLine="560" w:firstLineChars="200"/>
        <w:rPr>
          <w:rFonts w:cs="Times New Roman"/>
          <w:sz w:val="28"/>
          <w:szCs w:val="28"/>
        </w:rPr>
      </w:pPr>
    </w:p>
    <w:p w14:paraId="11EEAD92">
      <w:pPr>
        <w:widowControl/>
        <w:adjustRightInd w:val="0"/>
        <w:ind w:firstLine="560" w:firstLineChars="200"/>
        <w:rPr>
          <w:rFonts w:cs="Times New Roman"/>
          <w:sz w:val="28"/>
          <w:szCs w:val="28"/>
        </w:rPr>
        <w:sectPr>
          <w:pgSz w:w="11906" w:h="16838"/>
          <w:pgMar w:top="1440" w:right="1800" w:bottom="1440" w:left="1800" w:header="851" w:footer="992" w:gutter="0"/>
          <w:cols w:space="425" w:num="1"/>
          <w:docGrid w:type="lines" w:linePitch="312" w:charSpace="0"/>
        </w:sectPr>
      </w:pPr>
    </w:p>
    <w:p w14:paraId="76D84656">
      <w:pPr>
        <w:adjustRightInd w:val="0"/>
        <w:spacing w:line="240" w:lineRule="auto"/>
        <w:jc w:val="center"/>
        <w:rPr>
          <w:rFonts w:cs="Times New Roman"/>
          <w:b/>
          <w:sz w:val="28"/>
        </w:rPr>
      </w:pPr>
      <w:r>
        <w:rPr>
          <w:rFonts w:hint="eastAsia" w:cs="Times New Roman"/>
          <w:b/>
          <w:sz w:val="28"/>
        </w:rPr>
        <w:t>表4</w:t>
      </w:r>
      <w:r>
        <w:rPr>
          <w:rFonts w:cs="Times New Roman"/>
          <w:b/>
          <w:sz w:val="28"/>
        </w:rPr>
        <w:t>-</w:t>
      </w:r>
      <w:r>
        <w:rPr>
          <w:rFonts w:hint="eastAsia" w:cs="Times New Roman"/>
          <w:b/>
          <w:sz w:val="28"/>
        </w:rPr>
        <w:t xml:space="preserve">10  </w:t>
      </w:r>
      <w:r>
        <w:rPr>
          <w:rFonts w:cs="Times New Roman"/>
          <w:b/>
          <w:sz w:val="28"/>
        </w:rPr>
        <w:t>九原区规划水平年供需平衡分析</w:t>
      </w:r>
      <w:r>
        <w:rPr>
          <w:rFonts w:hint="eastAsia" w:cs="Times New Roman"/>
          <w:b/>
          <w:sz w:val="28"/>
        </w:rPr>
        <w:t xml:space="preserve">  </w:t>
      </w:r>
      <w:r>
        <w:rPr>
          <w:rFonts w:cs="Times New Roman"/>
          <w:b/>
          <w:sz w:val="28"/>
        </w:rPr>
        <w:t>单位：万m</w:t>
      </w:r>
      <w:r>
        <w:rPr>
          <w:rFonts w:cs="Times New Roman"/>
          <w:b/>
          <w:sz w:val="28"/>
          <w:vertAlign w:val="superscript"/>
        </w:rPr>
        <w:t>3</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1285"/>
        <w:gridCol w:w="1180"/>
        <w:gridCol w:w="1268"/>
        <w:gridCol w:w="1180"/>
        <w:gridCol w:w="1421"/>
        <w:gridCol w:w="1116"/>
        <w:gridCol w:w="996"/>
        <w:gridCol w:w="901"/>
        <w:gridCol w:w="997"/>
        <w:gridCol w:w="997"/>
        <w:gridCol w:w="699"/>
        <w:gridCol w:w="997"/>
      </w:tblGrid>
      <w:tr w14:paraId="537CE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7" w:type="pct"/>
            <w:vMerge w:val="restart"/>
            <w:shd w:val="clear" w:color="auto" w:fill="auto"/>
            <w:noWrap/>
            <w:vAlign w:val="center"/>
          </w:tcPr>
          <w:p w14:paraId="573BB39E">
            <w:pPr>
              <w:widowControl/>
              <w:adjustRightInd w:val="0"/>
              <w:spacing w:line="240" w:lineRule="auto"/>
              <w:jc w:val="center"/>
              <w:rPr>
                <w:rFonts w:cs="Times New Roman"/>
                <w:b/>
                <w:bCs/>
                <w:color w:val="000000"/>
                <w:kern w:val="0"/>
                <w:szCs w:val="24"/>
              </w:rPr>
            </w:pPr>
            <w:r>
              <w:rPr>
                <w:rFonts w:cs="Times New Roman"/>
                <w:b/>
                <w:bCs/>
                <w:color w:val="000000"/>
                <w:kern w:val="0"/>
                <w:szCs w:val="24"/>
              </w:rPr>
              <w:t>年份</w:t>
            </w:r>
          </w:p>
        </w:tc>
        <w:tc>
          <w:tcPr>
            <w:tcW w:w="2676" w:type="pct"/>
            <w:gridSpan w:val="6"/>
            <w:shd w:val="clear" w:color="auto" w:fill="auto"/>
            <w:vAlign w:val="center"/>
          </w:tcPr>
          <w:p w14:paraId="286699C7">
            <w:pPr>
              <w:widowControl/>
              <w:adjustRightInd w:val="0"/>
              <w:spacing w:line="240" w:lineRule="auto"/>
              <w:jc w:val="center"/>
              <w:rPr>
                <w:rFonts w:cs="Times New Roman"/>
                <w:b/>
                <w:bCs/>
                <w:color w:val="000000"/>
                <w:kern w:val="0"/>
                <w:szCs w:val="24"/>
              </w:rPr>
            </w:pPr>
            <w:r>
              <w:rPr>
                <w:rFonts w:cs="Times New Roman"/>
                <w:b/>
                <w:bCs/>
                <w:color w:val="000000"/>
                <w:kern w:val="0"/>
                <w:szCs w:val="24"/>
              </w:rPr>
              <w:t>需水量</w:t>
            </w:r>
          </w:p>
        </w:tc>
        <w:tc>
          <w:tcPr>
            <w:tcW w:w="1290" w:type="pct"/>
            <w:gridSpan w:val="4"/>
            <w:shd w:val="clear" w:color="auto" w:fill="auto"/>
            <w:vAlign w:val="center"/>
          </w:tcPr>
          <w:p w14:paraId="032637EB">
            <w:pPr>
              <w:widowControl/>
              <w:adjustRightInd w:val="0"/>
              <w:spacing w:line="240" w:lineRule="auto"/>
              <w:jc w:val="center"/>
              <w:rPr>
                <w:rFonts w:cs="Times New Roman"/>
                <w:b/>
                <w:bCs/>
                <w:color w:val="000000"/>
                <w:kern w:val="0"/>
                <w:szCs w:val="24"/>
              </w:rPr>
            </w:pPr>
            <w:r>
              <w:rPr>
                <w:rFonts w:cs="Times New Roman"/>
                <w:b/>
                <w:bCs/>
                <w:color w:val="000000"/>
                <w:kern w:val="0"/>
                <w:szCs w:val="24"/>
              </w:rPr>
              <w:t>可供水量</w:t>
            </w:r>
          </w:p>
        </w:tc>
        <w:tc>
          <w:tcPr>
            <w:tcW w:w="607" w:type="pct"/>
            <w:gridSpan w:val="2"/>
            <w:shd w:val="clear" w:color="auto" w:fill="auto"/>
            <w:noWrap/>
            <w:vAlign w:val="center"/>
          </w:tcPr>
          <w:p w14:paraId="6C3BF6EE">
            <w:pPr>
              <w:widowControl/>
              <w:adjustRightInd w:val="0"/>
              <w:spacing w:line="240" w:lineRule="auto"/>
              <w:jc w:val="center"/>
              <w:rPr>
                <w:rFonts w:cs="Times New Roman"/>
                <w:b/>
                <w:bCs/>
                <w:color w:val="000000"/>
                <w:kern w:val="0"/>
                <w:szCs w:val="24"/>
              </w:rPr>
            </w:pPr>
            <w:r>
              <w:rPr>
                <w:rFonts w:cs="Times New Roman"/>
                <w:b/>
                <w:bCs/>
                <w:color w:val="000000"/>
                <w:kern w:val="0"/>
                <w:szCs w:val="24"/>
              </w:rPr>
              <w:t>供需平衡分析</w:t>
            </w:r>
          </w:p>
        </w:tc>
      </w:tr>
      <w:tr w14:paraId="1235C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7" w:type="pct"/>
            <w:vMerge w:val="continue"/>
            <w:vAlign w:val="center"/>
          </w:tcPr>
          <w:p w14:paraId="7A2A9F66">
            <w:pPr>
              <w:widowControl/>
              <w:adjustRightInd w:val="0"/>
              <w:spacing w:line="240" w:lineRule="auto"/>
              <w:jc w:val="left"/>
              <w:rPr>
                <w:rFonts w:cs="Times New Roman"/>
                <w:b/>
                <w:bCs/>
                <w:color w:val="000000"/>
                <w:kern w:val="0"/>
                <w:szCs w:val="24"/>
              </w:rPr>
            </w:pPr>
          </w:p>
        </w:tc>
        <w:tc>
          <w:tcPr>
            <w:tcW w:w="479" w:type="pct"/>
            <w:shd w:val="clear" w:color="auto" w:fill="auto"/>
            <w:noWrap/>
            <w:vAlign w:val="center"/>
          </w:tcPr>
          <w:p w14:paraId="5032073C">
            <w:pPr>
              <w:widowControl/>
              <w:adjustRightInd w:val="0"/>
              <w:spacing w:line="240" w:lineRule="auto"/>
              <w:jc w:val="center"/>
              <w:rPr>
                <w:rFonts w:cs="Times New Roman"/>
                <w:b/>
                <w:bCs/>
                <w:color w:val="000000"/>
                <w:kern w:val="0"/>
                <w:szCs w:val="24"/>
              </w:rPr>
            </w:pPr>
            <w:r>
              <w:rPr>
                <w:rFonts w:cs="Times New Roman"/>
                <w:b/>
                <w:bCs/>
                <w:color w:val="000000"/>
                <w:kern w:val="0"/>
                <w:szCs w:val="24"/>
              </w:rPr>
              <w:t>生活需水</w:t>
            </w:r>
          </w:p>
        </w:tc>
        <w:tc>
          <w:tcPr>
            <w:tcW w:w="429" w:type="pct"/>
            <w:shd w:val="clear" w:color="auto" w:fill="auto"/>
            <w:noWrap/>
            <w:vAlign w:val="center"/>
          </w:tcPr>
          <w:p w14:paraId="2A4C7A51">
            <w:pPr>
              <w:widowControl/>
              <w:adjustRightInd w:val="0"/>
              <w:spacing w:line="240" w:lineRule="auto"/>
              <w:jc w:val="center"/>
              <w:rPr>
                <w:rFonts w:cs="Times New Roman"/>
                <w:b/>
                <w:bCs/>
                <w:color w:val="000000"/>
                <w:kern w:val="0"/>
                <w:szCs w:val="24"/>
              </w:rPr>
            </w:pPr>
            <w:r>
              <w:rPr>
                <w:rFonts w:cs="Times New Roman"/>
                <w:b/>
                <w:bCs/>
                <w:color w:val="000000"/>
                <w:kern w:val="0"/>
                <w:szCs w:val="24"/>
              </w:rPr>
              <w:t>第一产业</w:t>
            </w:r>
          </w:p>
        </w:tc>
        <w:tc>
          <w:tcPr>
            <w:tcW w:w="479" w:type="pct"/>
            <w:shd w:val="clear" w:color="auto" w:fill="auto"/>
            <w:vAlign w:val="center"/>
          </w:tcPr>
          <w:p w14:paraId="52FD3005">
            <w:pPr>
              <w:widowControl/>
              <w:adjustRightInd w:val="0"/>
              <w:spacing w:line="240" w:lineRule="auto"/>
              <w:jc w:val="center"/>
              <w:rPr>
                <w:rFonts w:cs="Times New Roman"/>
                <w:b/>
                <w:bCs/>
                <w:color w:val="000000"/>
                <w:kern w:val="0"/>
                <w:szCs w:val="24"/>
              </w:rPr>
            </w:pPr>
            <w:r>
              <w:rPr>
                <w:rFonts w:cs="Times New Roman"/>
                <w:b/>
                <w:bCs/>
                <w:color w:val="000000"/>
                <w:kern w:val="0"/>
                <w:szCs w:val="24"/>
              </w:rPr>
              <w:t>第二产业</w:t>
            </w:r>
          </w:p>
        </w:tc>
        <w:tc>
          <w:tcPr>
            <w:tcW w:w="423" w:type="pct"/>
            <w:shd w:val="clear" w:color="auto" w:fill="auto"/>
            <w:noWrap/>
            <w:vAlign w:val="center"/>
          </w:tcPr>
          <w:p w14:paraId="56280B4E">
            <w:pPr>
              <w:widowControl/>
              <w:adjustRightInd w:val="0"/>
              <w:spacing w:line="240" w:lineRule="auto"/>
              <w:jc w:val="center"/>
              <w:rPr>
                <w:rFonts w:cs="Times New Roman"/>
                <w:b/>
                <w:bCs/>
                <w:color w:val="000000"/>
                <w:kern w:val="0"/>
                <w:szCs w:val="24"/>
              </w:rPr>
            </w:pPr>
            <w:r>
              <w:rPr>
                <w:rFonts w:cs="Times New Roman"/>
                <w:b/>
                <w:bCs/>
                <w:color w:val="000000"/>
                <w:kern w:val="0"/>
                <w:szCs w:val="24"/>
              </w:rPr>
              <w:t>第三产业</w:t>
            </w:r>
          </w:p>
        </w:tc>
        <w:tc>
          <w:tcPr>
            <w:tcW w:w="509" w:type="pct"/>
            <w:shd w:val="clear" w:color="auto" w:fill="auto"/>
            <w:noWrap/>
            <w:vAlign w:val="center"/>
          </w:tcPr>
          <w:p w14:paraId="594680DB">
            <w:pPr>
              <w:widowControl/>
              <w:adjustRightInd w:val="0"/>
              <w:spacing w:line="240" w:lineRule="auto"/>
              <w:jc w:val="center"/>
              <w:rPr>
                <w:rFonts w:cs="Times New Roman"/>
                <w:b/>
                <w:bCs/>
                <w:color w:val="000000"/>
                <w:kern w:val="0"/>
                <w:szCs w:val="24"/>
              </w:rPr>
            </w:pPr>
            <w:r>
              <w:rPr>
                <w:rFonts w:cs="Times New Roman"/>
                <w:b/>
                <w:bCs/>
                <w:color w:val="000000"/>
                <w:kern w:val="0"/>
                <w:szCs w:val="24"/>
              </w:rPr>
              <w:t>生态需水量</w:t>
            </w:r>
          </w:p>
        </w:tc>
        <w:tc>
          <w:tcPr>
            <w:tcW w:w="357" w:type="pct"/>
            <w:shd w:val="clear" w:color="auto" w:fill="auto"/>
            <w:noWrap/>
            <w:vAlign w:val="center"/>
          </w:tcPr>
          <w:p w14:paraId="00CA4361">
            <w:pPr>
              <w:widowControl/>
              <w:adjustRightInd w:val="0"/>
              <w:spacing w:line="240" w:lineRule="auto"/>
              <w:jc w:val="center"/>
              <w:rPr>
                <w:rFonts w:cs="Times New Roman"/>
                <w:b/>
                <w:bCs/>
                <w:color w:val="000000"/>
                <w:kern w:val="0"/>
                <w:szCs w:val="24"/>
              </w:rPr>
            </w:pPr>
            <w:r>
              <w:rPr>
                <w:rFonts w:cs="Times New Roman"/>
                <w:b/>
                <w:bCs/>
                <w:color w:val="000000"/>
                <w:kern w:val="0"/>
                <w:szCs w:val="24"/>
              </w:rPr>
              <w:t>合计</w:t>
            </w:r>
          </w:p>
        </w:tc>
        <w:tc>
          <w:tcPr>
            <w:tcW w:w="337" w:type="pct"/>
            <w:shd w:val="clear" w:color="auto" w:fill="auto"/>
            <w:noWrap/>
            <w:vAlign w:val="center"/>
          </w:tcPr>
          <w:p w14:paraId="6A879057">
            <w:pPr>
              <w:widowControl/>
              <w:adjustRightInd w:val="0"/>
              <w:spacing w:line="240" w:lineRule="auto"/>
              <w:jc w:val="center"/>
              <w:rPr>
                <w:rFonts w:cs="Times New Roman"/>
                <w:b/>
                <w:bCs/>
                <w:color w:val="000000"/>
                <w:kern w:val="0"/>
                <w:szCs w:val="24"/>
              </w:rPr>
            </w:pPr>
            <w:r>
              <w:rPr>
                <w:rFonts w:cs="Times New Roman"/>
                <w:b/>
                <w:bCs/>
                <w:color w:val="000000"/>
                <w:kern w:val="0"/>
                <w:szCs w:val="24"/>
              </w:rPr>
              <w:t>地下水</w:t>
            </w:r>
          </w:p>
        </w:tc>
        <w:tc>
          <w:tcPr>
            <w:tcW w:w="366" w:type="pct"/>
            <w:shd w:val="clear" w:color="auto" w:fill="auto"/>
            <w:vAlign w:val="center"/>
          </w:tcPr>
          <w:p w14:paraId="6DB94AF8">
            <w:pPr>
              <w:widowControl/>
              <w:adjustRightInd w:val="0"/>
              <w:spacing w:line="240" w:lineRule="auto"/>
              <w:jc w:val="center"/>
              <w:rPr>
                <w:rFonts w:cs="Times New Roman"/>
                <w:b/>
                <w:bCs/>
                <w:color w:val="000000"/>
                <w:kern w:val="0"/>
                <w:szCs w:val="24"/>
              </w:rPr>
            </w:pPr>
            <w:r>
              <w:rPr>
                <w:rFonts w:cs="Times New Roman"/>
                <w:b/>
                <w:bCs/>
                <w:color w:val="000000"/>
                <w:kern w:val="0"/>
                <w:szCs w:val="24"/>
              </w:rPr>
              <w:t>地表水</w:t>
            </w:r>
          </w:p>
        </w:tc>
        <w:tc>
          <w:tcPr>
            <w:tcW w:w="337" w:type="pct"/>
            <w:shd w:val="clear" w:color="auto" w:fill="auto"/>
            <w:noWrap/>
            <w:vAlign w:val="center"/>
          </w:tcPr>
          <w:p w14:paraId="787E10F0">
            <w:pPr>
              <w:widowControl/>
              <w:adjustRightInd w:val="0"/>
              <w:spacing w:line="240" w:lineRule="auto"/>
              <w:jc w:val="center"/>
              <w:rPr>
                <w:rFonts w:cs="Times New Roman"/>
                <w:b/>
                <w:bCs/>
                <w:color w:val="000000"/>
                <w:kern w:val="0"/>
                <w:szCs w:val="24"/>
              </w:rPr>
            </w:pPr>
            <w:r>
              <w:rPr>
                <w:rFonts w:cs="Times New Roman"/>
                <w:b/>
                <w:bCs/>
                <w:color w:val="000000"/>
                <w:kern w:val="0"/>
                <w:szCs w:val="24"/>
              </w:rPr>
              <w:t>再生水</w:t>
            </w:r>
          </w:p>
        </w:tc>
        <w:tc>
          <w:tcPr>
            <w:tcW w:w="250" w:type="pct"/>
            <w:shd w:val="clear" w:color="auto" w:fill="auto"/>
            <w:noWrap/>
            <w:vAlign w:val="center"/>
          </w:tcPr>
          <w:p w14:paraId="175CC957">
            <w:pPr>
              <w:widowControl/>
              <w:adjustRightInd w:val="0"/>
              <w:spacing w:line="240" w:lineRule="auto"/>
              <w:jc w:val="center"/>
              <w:rPr>
                <w:rFonts w:cs="Times New Roman"/>
                <w:b/>
                <w:bCs/>
                <w:color w:val="000000"/>
                <w:kern w:val="0"/>
                <w:szCs w:val="24"/>
              </w:rPr>
            </w:pPr>
            <w:r>
              <w:rPr>
                <w:rFonts w:cs="Times New Roman"/>
                <w:b/>
                <w:bCs/>
                <w:color w:val="000000"/>
                <w:kern w:val="0"/>
                <w:szCs w:val="24"/>
              </w:rPr>
              <w:t>合计</w:t>
            </w:r>
          </w:p>
        </w:tc>
        <w:tc>
          <w:tcPr>
            <w:tcW w:w="250" w:type="pct"/>
            <w:shd w:val="clear" w:color="auto" w:fill="auto"/>
            <w:noWrap/>
            <w:vAlign w:val="center"/>
          </w:tcPr>
          <w:p w14:paraId="5DA4D5B6">
            <w:pPr>
              <w:widowControl/>
              <w:adjustRightInd w:val="0"/>
              <w:spacing w:line="240" w:lineRule="auto"/>
              <w:jc w:val="center"/>
              <w:rPr>
                <w:rFonts w:cs="Times New Roman"/>
                <w:b/>
                <w:bCs/>
                <w:color w:val="000000"/>
                <w:kern w:val="0"/>
                <w:szCs w:val="24"/>
              </w:rPr>
            </w:pPr>
            <w:r>
              <w:rPr>
                <w:rFonts w:cs="Times New Roman"/>
                <w:b/>
                <w:bCs/>
                <w:color w:val="000000"/>
                <w:kern w:val="0"/>
                <w:szCs w:val="24"/>
              </w:rPr>
              <w:t>余水</w:t>
            </w:r>
          </w:p>
        </w:tc>
        <w:tc>
          <w:tcPr>
            <w:tcW w:w="357" w:type="pct"/>
            <w:shd w:val="clear" w:color="auto" w:fill="auto"/>
            <w:noWrap/>
            <w:vAlign w:val="center"/>
          </w:tcPr>
          <w:p w14:paraId="17A78F6C">
            <w:pPr>
              <w:widowControl/>
              <w:adjustRightInd w:val="0"/>
              <w:spacing w:line="240" w:lineRule="auto"/>
              <w:jc w:val="center"/>
              <w:rPr>
                <w:rFonts w:cs="Times New Roman"/>
                <w:b/>
                <w:bCs/>
                <w:color w:val="000000"/>
                <w:kern w:val="0"/>
                <w:szCs w:val="24"/>
              </w:rPr>
            </w:pPr>
            <w:r>
              <w:rPr>
                <w:rFonts w:cs="Times New Roman"/>
                <w:b/>
                <w:bCs/>
                <w:color w:val="000000"/>
                <w:kern w:val="0"/>
                <w:szCs w:val="24"/>
              </w:rPr>
              <w:t>缺水</w:t>
            </w:r>
          </w:p>
        </w:tc>
      </w:tr>
      <w:tr w14:paraId="05BD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7" w:type="pct"/>
            <w:shd w:val="clear" w:color="auto" w:fill="auto"/>
            <w:noWrap/>
            <w:vAlign w:val="center"/>
          </w:tcPr>
          <w:p w14:paraId="356E8323">
            <w:pPr>
              <w:widowControl/>
              <w:adjustRightInd w:val="0"/>
              <w:spacing w:line="240" w:lineRule="auto"/>
              <w:jc w:val="center"/>
              <w:rPr>
                <w:rFonts w:cs="Times New Roman"/>
                <w:color w:val="000000"/>
                <w:kern w:val="0"/>
                <w:szCs w:val="24"/>
              </w:rPr>
            </w:pPr>
            <w:r>
              <w:rPr>
                <w:rFonts w:cs="Times New Roman"/>
                <w:color w:val="000000"/>
                <w:kern w:val="0"/>
                <w:szCs w:val="24"/>
              </w:rPr>
              <w:t>2035</w:t>
            </w:r>
          </w:p>
        </w:tc>
        <w:tc>
          <w:tcPr>
            <w:tcW w:w="479" w:type="pct"/>
            <w:shd w:val="clear" w:color="auto" w:fill="auto"/>
            <w:noWrap/>
          </w:tcPr>
          <w:p w14:paraId="6BA99F84">
            <w:pPr>
              <w:widowControl/>
              <w:adjustRightInd w:val="0"/>
              <w:spacing w:line="240" w:lineRule="auto"/>
              <w:jc w:val="center"/>
              <w:rPr>
                <w:rFonts w:cs="Times New Roman"/>
                <w:color w:val="000000"/>
                <w:kern w:val="0"/>
                <w:szCs w:val="24"/>
              </w:rPr>
            </w:pPr>
            <w:r>
              <w:t>7105.87</w:t>
            </w:r>
          </w:p>
        </w:tc>
        <w:tc>
          <w:tcPr>
            <w:tcW w:w="429" w:type="pct"/>
            <w:shd w:val="clear" w:color="auto" w:fill="auto"/>
          </w:tcPr>
          <w:p w14:paraId="655987EE">
            <w:pPr>
              <w:widowControl/>
              <w:adjustRightInd w:val="0"/>
              <w:spacing w:line="240" w:lineRule="auto"/>
              <w:jc w:val="center"/>
              <w:rPr>
                <w:rFonts w:cs="Times New Roman"/>
                <w:color w:val="000000"/>
                <w:kern w:val="0"/>
                <w:szCs w:val="24"/>
              </w:rPr>
            </w:pPr>
            <w:r>
              <w:t>7105.87</w:t>
            </w:r>
          </w:p>
        </w:tc>
        <w:tc>
          <w:tcPr>
            <w:tcW w:w="479" w:type="pct"/>
            <w:shd w:val="clear" w:color="auto" w:fill="auto"/>
          </w:tcPr>
          <w:p w14:paraId="36C0B4C4">
            <w:pPr>
              <w:widowControl/>
              <w:adjustRightInd w:val="0"/>
              <w:spacing w:line="240" w:lineRule="auto"/>
              <w:jc w:val="center"/>
              <w:rPr>
                <w:rFonts w:cs="Times New Roman"/>
                <w:color w:val="000000"/>
                <w:kern w:val="0"/>
                <w:szCs w:val="24"/>
              </w:rPr>
            </w:pPr>
            <w:r>
              <w:t>1702.34</w:t>
            </w:r>
          </w:p>
        </w:tc>
        <w:tc>
          <w:tcPr>
            <w:tcW w:w="423" w:type="pct"/>
            <w:shd w:val="clear" w:color="auto" w:fill="auto"/>
          </w:tcPr>
          <w:p w14:paraId="19E38DFC">
            <w:pPr>
              <w:widowControl/>
              <w:adjustRightInd w:val="0"/>
              <w:spacing w:line="240" w:lineRule="auto"/>
              <w:jc w:val="center"/>
              <w:rPr>
                <w:rFonts w:cs="Times New Roman"/>
                <w:color w:val="000000"/>
                <w:kern w:val="0"/>
                <w:szCs w:val="24"/>
              </w:rPr>
            </w:pPr>
            <w:r>
              <w:t>82.00</w:t>
            </w:r>
          </w:p>
        </w:tc>
        <w:tc>
          <w:tcPr>
            <w:tcW w:w="509" w:type="pct"/>
            <w:shd w:val="clear" w:color="auto" w:fill="auto"/>
          </w:tcPr>
          <w:p w14:paraId="49CABAAA">
            <w:pPr>
              <w:widowControl/>
              <w:adjustRightInd w:val="0"/>
              <w:spacing w:line="240" w:lineRule="auto"/>
              <w:jc w:val="center"/>
              <w:rPr>
                <w:rFonts w:cs="Times New Roman"/>
                <w:color w:val="000000"/>
                <w:kern w:val="0"/>
                <w:szCs w:val="24"/>
              </w:rPr>
            </w:pPr>
            <w:r>
              <w:t>351.75</w:t>
            </w:r>
          </w:p>
        </w:tc>
        <w:tc>
          <w:tcPr>
            <w:tcW w:w="357" w:type="pct"/>
            <w:shd w:val="clear" w:color="auto" w:fill="auto"/>
            <w:noWrap/>
          </w:tcPr>
          <w:p w14:paraId="0167D57E">
            <w:pPr>
              <w:widowControl/>
              <w:adjustRightInd w:val="0"/>
              <w:spacing w:line="240" w:lineRule="auto"/>
              <w:jc w:val="center"/>
              <w:rPr>
                <w:rFonts w:cs="Times New Roman"/>
                <w:color w:val="000000"/>
                <w:kern w:val="0"/>
                <w:szCs w:val="24"/>
              </w:rPr>
            </w:pPr>
            <w:r>
              <w:t>10013.70</w:t>
            </w:r>
          </w:p>
        </w:tc>
        <w:tc>
          <w:tcPr>
            <w:tcW w:w="337" w:type="pct"/>
            <w:shd w:val="clear" w:color="auto" w:fill="auto"/>
          </w:tcPr>
          <w:p w14:paraId="0775EC10">
            <w:pPr>
              <w:widowControl/>
              <w:adjustRightInd w:val="0"/>
              <w:spacing w:line="240" w:lineRule="auto"/>
              <w:jc w:val="center"/>
              <w:rPr>
                <w:rFonts w:cs="Times New Roman"/>
                <w:color w:val="000000"/>
                <w:kern w:val="0"/>
                <w:szCs w:val="24"/>
              </w:rPr>
            </w:pPr>
            <w:r>
              <w:t>4854</w:t>
            </w:r>
            <w:r>
              <w:rPr>
                <w:rFonts w:hint="eastAsia"/>
              </w:rPr>
              <w:t>.00</w:t>
            </w:r>
          </w:p>
        </w:tc>
        <w:tc>
          <w:tcPr>
            <w:tcW w:w="366" w:type="pct"/>
            <w:shd w:val="clear" w:color="auto" w:fill="auto"/>
          </w:tcPr>
          <w:p w14:paraId="51EDD883">
            <w:pPr>
              <w:widowControl/>
              <w:adjustRightInd w:val="0"/>
              <w:spacing w:line="240" w:lineRule="auto"/>
              <w:jc w:val="center"/>
              <w:rPr>
                <w:rFonts w:cs="Times New Roman"/>
                <w:color w:val="000000"/>
                <w:kern w:val="0"/>
                <w:szCs w:val="24"/>
              </w:rPr>
            </w:pPr>
          </w:p>
        </w:tc>
        <w:tc>
          <w:tcPr>
            <w:tcW w:w="337" w:type="pct"/>
            <w:shd w:val="clear" w:color="auto" w:fill="auto"/>
          </w:tcPr>
          <w:p w14:paraId="2C97EF7F">
            <w:pPr>
              <w:widowControl/>
              <w:adjustRightInd w:val="0"/>
              <w:spacing w:line="240" w:lineRule="auto"/>
              <w:jc w:val="center"/>
              <w:rPr>
                <w:rFonts w:cs="Times New Roman"/>
                <w:color w:val="000000"/>
                <w:kern w:val="0"/>
                <w:szCs w:val="24"/>
              </w:rPr>
            </w:pPr>
            <w:r>
              <w:t>1276</w:t>
            </w:r>
            <w:r>
              <w:rPr>
                <w:rFonts w:hint="eastAsia"/>
              </w:rPr>
              <w:t>.00</w:t>
            </w:r>
          </w:p>
        </w:tc>
        <w:tc>
          <w:tcPr>
            <w:tcW w:w="250" w:type="pct"/>
            <w:shd w:val="clear" w:color="auto" w:fill="auto"/>
            <w:noWrap/>
          </w:tcPr>
          <w:p w14:paraId="5BCBAB75">
            <w:pPr>
              <w:widowControl/>
              <w:adjustRightInd w:val="0"/>
              <w:spacing w:line="240" w:lineRule="auto"/>
              <w:jc w:val="center"/>
              <w:rPr>
                <w:rFonts w:cs="Times New Roman"/>
                <w:color w:val="000000"/>
                <w:kern w:val="0"/>
                <w:szCs w:val="24"/>
              </w:rPr>
            </w:pPr>
            <w:r>
              <w:t>8215</w:t>
            </w:r>
            <w:r>
              <w:rPr>
                <w:rFonts w:hint="eastAsia"/>
              </w:rPr>
              <w:t>.00</w:t>
            </w:r>
          </w:p>
        </w:tc>
        <w:tc>
          <w:tcPr>
            <w:tcW w:w="250" w:type="pct"/>
            <w:shd w:val="clear" w:color="auto" w:fill="auto"/>
            <w:noWrap/>
          </w:tcPr>
          <w:p w14:paraId="2F7D9CEB">
            <w:pPr>
              <w:widowControl/>
              <w:adjustRightInd w:val="0"/>
              <w:spacing w:line="240" w:lineRule="auto"/>
              <w:jc w:val="center"/>
              <w:rPr>
                <w:rFonts w:cs="Times New Roman"/>
                <w:color w:val="000000"/>
                <w:kern w:val="0"/>
                <w:szCs w:val="24"/>
              </w:rPr>
            </w:pPr>
          </w:p>
        </w:tc>
        <w:tc>
          <w:tcPr>
            <w:tcW w:w="357" w:type="pct"/>
            <w:shd w:val="clear" w:color="auto" w:fill="auto"/>
            <w:noWrap/>
          </w:tcPr>
          <w:p w14:paraId="00F9AF0E">
            <w:pPr>
              <w:widowControl/>
              <w:adjustRightInd w:val="0"/>
              <w:spacing w:line="240" w:lineRule="auto"/>
              <w:jc w:val="center"/>
              <w:rPr>
                <w:rFonts w:cs="Times New Roman"/>
                <w:color w:val="000000"/>
                <w:kern w:val="0"/>
                <w:szCs w:val="24"/>
              </w:rPr>
            </w:pPr>
            <w:r>
              <w:t>1798.70</w:t>
            </w:r>
          </w:p>
        </w:tc>
      </w:tr>
    </w:tbl>
    <w:p w14:paraId="0C8574A3">
      <w:pPr>
        <w:widowControl/>
        <w:adjustRightInd w:val="0"/>
        <w:ind w:firstLine="560" w:firstLineChars="200"/>
        <w:rPr>
          <w:rFonts w:cs="Times New Roman"/>
          <w:sz w:val="28"/>
          <w:szCs w:val="28"/>
        </w:rPr>
        <w:sectPr>
          <w:pgSz w:w="16838" w:h="11906" w:orient="landscape"/>
          <w:pgMar w:top="1800" w:right="1440" w:bottom="1800" w:left="1440" w:header="851" w:footer="992" w:gutter="0"/>
          <w:cols w:space="425" w:num="1"/>
          <w:docGrid w:type="lines" w:linePitch="326" w:charSpace="0"/>
        </w:sectPr>
      </w:pPr>
    </w:p>
    <w:p w14:paraId="0D735728">
      <w:pPr>
        <w:pStyle w:val="4"/>
        <w:widowControl/>
        <w:adjustRightInd w:val="0"/>
        <w:spacing w:before="0" w:after="0" w:line="360" w:lineRule="auto"/>
        <w:jc w:val="left"/>
        <w:rPr>
          <w:rFonts w:eastAsia="黑体" w:cs="Times New Roman"/>
          <w:b w:val="0"/>
          <w:bCs w:val="0"/>
          <w:kern w:val="0"/>
          <w:sz w:val="28"/>
          <w:szCs w:val="28"/>
        </w:rPr>
      </w:pPr>
      <w:bookmarkStart w:id="104" w:name="_Toc198652048"/>
      <w:r>
        <w:rPr>
          <w:rFonts w:eastAsia="黑体" w:cs="Times New Roman"/>
          <w:b w:val="0"/>
          <w:bCs w:val="0"/>
          <w:kern w:val="0"/>
          <w:sz w:val="28"/>
          <w:szCs w:val="28"/>
        </w:rPr>
        <w:t>4.2.5水资源空间均衡配置</w:t>
      </w:r>
      <w:bookmarkEnd w:id="104"/>
    </w:p>
    <w:p w14:paraId="5E114E21">
      <w:pPr>
        <w:widowControl/>
        <w:adjustRightInd w:val="0"/>
        <w:ind w:firstLine="560" w:firstLineChars="200"/>
        <w:rPr>
          <w:rFonts w:cs="Times New Roman"/>
          <w:b/>
          <w:bCs/>
          <w:sz w:val="28"/>
          <w:szCs w:val="28"/>
        </w:rPr>
      </w:pPr>
      <w:r>
        <w:rPr>
          <w:rFonts w:cs="Times New Roman"/>
          <w:sz w:val="28"/>
          <w:szCs w:val="28"/>
        </w:rPr>
        <w:t>考虑南水北调西线</w:t>
      </w:r>
      <w:r>
        <w:rPr>
          <w:rFonts w:hint="eastAsia" w:cs="Times New Roman"/>
          <w:sz w:val="28"/>
          <w:szCs w:val="28"/>
        </w:rPr>
        <w:t>工程</w:t>
      </w:r>
      <w:r>
        <w:rPr>
          <w:rFonts w:cs="Times New Roman"/>
          <w:sz w:val="28"/>
          <w:szCs w:val="28"/>
        </w:rPr>
        <w:t>2035年生效后</w:t>
      </w:r>
      <w:r>
        <w:rPr>
          <w:rFonts w:hint="eastAsia" w:cs="Times New Roman"/>
          <w:sz w:val="28"/>
          <w:szCs w:val="28"/>
        </w:rPr>
        <w:t>，</w:t>
      </w:r>
      <w:r>
        <w:rPr>
          <w:rFonts w:cs="Times New Roman"/>
          <w:sz w:val="28"/>
          <w:szCs w:val="28"/>
        </w:rPr>
        <w:t>进行分区域、分水源、分行业水资源配置分析。</w:t>
      </w:r>
      <w:r>
        <w:rPr>
          <w:rFonts w:hint="eastAsia" w:cs="Times New Roman"/>
          <w:sz w:val="28"/>
          <w:szCs w:val="28"/>
        </w:rPr>
        <w:t>包头市</w:t>
      </w:r>
      <w:r>
        <w:rPr>
          <w:rFonts w:cs="Times New Roman"/>
          <w:sz w:val="28"/>
          <w:szCs w:val="28"/>
        </w:rPr>
        <w:t>全市生活需水得到保障，</w:t>
      </w:r>
      <w:r>
        <w:rPr>
          <w:rFonts w:hint="eastAsia" w:cs="Times New Roman"/>
          <w:sz w:val="28"/>
          <w:szCs w:val="28"/>
        </w:rPr>
        <w:t>九原区作为包头市中心城区之一，</w:t>
      </w:r>
      <w:r>
        <w:rPr>
          <w:rFonts w:cs="Times New Roman"/>
          <w:sz w:val="28"/>
          <w:szCs w:val="28"/>
        </w:rPr>
        <w:t>缺水问题</w:t>
      </w:r>
      <w:r>
        <w:rPr>
          <w:rFonts w:hint="eastAsia" w:cs="Times New Roman"/>
          <w:sz w:val="28"/>
          <w:szCs w:val="28"/>
        </w:rPr>
        <w:t>可以</w:t>
      </w:r>
      <w:r>
        <w:rPr>
          <w:rFonts w:cs="Times New Roman"/>
          <w:sz w:val="28"/>
          <w:szCs w:val="28"/>
        </w:rPr>
        <w:t>得到有效改善。</w:t>
      </w:r>
      <w:r>
        <w:rPr>
          <w:rFonts w:hint="eastAsia" w:cs="Times New Roman"/>
          <w:b/>
          <w:bCs/>
          <w:sz w:val="28"/>
          <w:szCs w:val="28"/>
        </w:rPr>
        <w:t>具体配置水量，需在</w:t>
      </w:r>
      <w:r>
        <w:rPr>
          <w:rFonts w:cs="Times New Roman"/>
          <w:b/>
          <w:bCs/>
          <w:sz w:val="28"/>
          <w:szCs w:val="28"/>
        </w:rPr>
        <w:t>南水北调西线</w:t>
      </w:r>
      <w:r>
        <w:rPr>
          <w:rFonts w:hint="eastAsia" w:cs="Times New Roman"/>
          <w:b/>
          <w:bCs/>
          <w:sz w:val="28"/>
          <w:szCs w:val="28"/>
        </w:rPr>
        <w:t>工程</w:t>
      </w:r>
      <w:r>
        <w:rPr>
          <w:rFonts w:cs="Times New Roman"/>
          <w:b/>
          <w:bCs/>
          <w:sz w:val="28"/>
          <w:szCs w:val="28"/>
        </w:rPr>
        <w:t>生效后</w:t>
      </w:r>
      <w:r>
        <w:rPr>
          <w:rFonts w:hint="eastAsia" w:cs="Times New Roman"/>
          <w:b/>
          <w:bCs/>
          <w:sz w:val="28"/>
          <w:szCs w:val="28"/>
        </w:rPr>
        <w:t>定论。</w:t>
      </w:r>
    </w:p>
    <w:p w14:paraId="09851DB7">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05" w:name="_Toc198652049"/>
      <w:r>
        <w:rPr>
          <w:rFonts w:ascii="Times New Roman" w:hAnsi="Times New Roman" w:eastAsia="黑体" w:cs="Times New Roman"/>
          <w:b w:val="0"/>
          <w:bCs w:val="0"/>
          <w:kern w:val="0"/>
          <w:sz w:val="28"/>
          <w:szCs w:val="28"/>
        </w:rPr>
        <w:t>4.3水资源</w:t>
      </w:r>
      <w:r>
        <w:rPr>
          <w:rFonts w:hint="eastAsia" w:ascii="Times New Roman" w:hAnsi="Times New Roman" w:eastAsia="黑体" w:cs="Times New Roman"/>
          <w:b w:val="0"/>
          <w:bCs w:val="0"/>
          <w:kern w:val="0"/>
          <w:sz w:val="28"/>
          <w:szCs w:val="28"/>
        </w:rPr>
        <w:t>优化配置</w:t>
      </w:r>
      <w:bookmarkEnd w:id="105"/>
    </w:p>
    <w:p w14:paraId="5EF5748D">
      <w:pPr>
        <w:widowControl/>
        <w:adjustRightInd w:val="0"/>
        <w:ind w:firstLine="560" w:firstLineChars="200"/>
        <w:rPr>
          <w:rFonts w:cs="Times New Roman"/>
          <w:sz w:val="28"/>
          <w:szCs w:val="28"/>
        </w:rPr>
      </w:pPr>
      <w:r>
        <w:rPr>
          <w:rFonts w:hint="eastAsia" w:cs="Times New Roman"/>
          <w:sz w:val="28"/>
          <w:szCs w:val="28"/>
        </w:rPr>
        <w:t>九原区资源优化配置</w:t>
      </w:r>
      <w:r>
        <w:rPr>
          <w:rFonts w:cs="Times New Roman"/>
          <w:sz w:val="28"/>
          <w:szCs w:val="28"/>
        </w:rPr>
        <w:t>按照“节水优先、以供定需，人水和谐、空间均衡”的原则，严格控制开采地下水，加大非常规水配置，保障生态环境用水，加强水资源的统一调配和管理，切实保障各经济社会发展用水需要</w:t>
      </w:r>
      <w:r>
        <w:rPr>
          <w:rFonts w:hint="eastAsia" w:cs="Times New Roman"/>
          <w:sz w:val="28"/>
          <w:szCs w:val="28"/>
        </w:rPr>
        <w:t>。</w:t>
      </w:r>
    </w:p>
    <w:p w14:paraId="277749DC">
      <w:pPr>
        <w:pStyle w:val="4"/>
        <w:widowControl/>
        <w:adjustRightInd w:val="0"/>
        <w:spacing w:before="0" w:after="0" w:line="360" w:lineRule="auto"/>
        <w:jc w:val="left"/>
        <w:rPr>
          <w:rFonts w:eastAsia="黑体" w:cs="Times New Roman"/>
          <w:b w:val="0"/>
          <w:bCs w:val="0"/>
          <w:kern w:val="0"/>
          <w:sz w:val="28"/>
          <w:szCs w:val="28"/>
        </w:rPr>
      </w:pPr>
      <w:bookmarkStart w:id="106" w:name="_Toc198652050"/>
      <w:r>
        <w:rPr>
          <w:rFonts w:hint="eastAsia" w:eastAsia="黑体" w:cs="Times New Roman"/>
          <w:b w:val="0"/>
          <w:bCs w:val="0"/>
          <w:kern w:val="0"/>
          <w:sz w:val="28"/>
          <w:szCs w:val="28"/>
        </w:rPr>
        <w:t>4.3.1</w:t>
      </w:r>
      <w:r>
        <w:rPr>
          <w:rFonts w:eastAsia="黑体" w:cs="Times New Roman"/>
          <w:b w:val="0"/>
          <w:bCs w:val="0"/>
          <w:kern w:val="0"/>
          <w:sz w:val="28"/>
          <w:szCs w:val="28"/>
        </w:rPr>
        <w:t>配置思路</w:t>
      </w:r>
      <w:bookmarkEnd w:id="106"/>
    </w:p>
    <w:p w14:paraId="77FA613B">
      <w:pPr>
        <w:widowControl/>
        <w:adjustRightInd w:val="0"/>
        <w:ind w:firstLine="560" w:firstLineChars="200"/>
        <w:rPr>
          <w:rFonts w:cs="Times New Roman"/>
          <w:sz w:val="28"/>
          <w:szCs w:val="28"/>
        </w:rPr>
      </w:pPr>
      <w:r>
        <w:rPr>
          <w:rFonts w:hint="eastAsia" w:cs="Times New Roman"/>
          <w:sz w:val="28"/>
          <w:szCs w:val="28"/>
        </w:rPr>
        <w:t>九原区水资源除过境的黄河水外，大气降水是水资源的主要补给来源，分布很不均匀，南部分布较丰富，北部山区水资源贫乏。地表水有山沟清水、洪水、黄河水和工业城市排放的污水，受经济条件、技术水平制约，开发利用还不够充分，而且各分区开发利用程度存在较大差异。地下水资源的开发利用主要是水井工程，深井开采承压水，主要分布在山前倾斜平原区，浅井开采浅层水，其水质大部分受污染严重，主要分布在黄河冲积平原区。近年来，新打机电井迅速增加，地下水开采量增加，而补给量减少，导致地下水漏斗范围扩大，对地下水资源造成不同程度的影响。</w:t>
      </w:r>
    </w:p>
    <w:p w14:paraId="07303AA8">
      <w:pPr>
        <w:widowControl/>
        <w:adjustRightInd w:val="0"/>
        <w:ind w:firstLine="560" w:firstLineChars="200"/>
        <w:rPr>
          <w:rFonts w:cs="Times New Roman"/>
          <w:sz w:val="28"/>
          <w:szCs w:val="28"/>
        </w:rPr>
      </w:pPr>
      <w:r>
        <w:rPr>
          <w:rFonts w:hint="eastAsia" w:cs="Times New Roman"/>
          <w:sz w:val="28"/>
          <w:szCs w:val="28"/>
        </w:rPr>
        <w:t>九原区水网配置</w:t>
      </w:r>
      <w:r>
        <w:rPr>
          <w:rFonts w:cs="Times New Roman"/>
          <w:sz w:val="28"/>
          <w:szCs w:val="28"/>
        </w:rPr>
        <w:t>按照</w:t>
      </w:r>
      <w:r>
        <w:rPr>
          <w:rFonts w:hint="eastAsia" w:cs="Times New Roman"/>
          <w:sz w:val="28"/>
          <w:szCs w:val="28"/>
        </w:rPr>
        <w:t>包头市</w:t>
      </w:r>
      <w:r>
        <w:rPr>
          <w:rFonts w:cs="Times New Roman"/>
          <w:sz w:val="28"/>
          <w:szCs w:val="28"/>
        </w:rPr>
        <w:t>“一带一环、南水济北；一核两片、山南山北；多点合力、水活鹿城”的水网总体布局，</w:t>
      </w:r>
      <w:r>
        <w:rPr>
          <w:rFonts w:hint="eastAsia" w:cs="Times New Roman"/>
          <w:sz w:val="28"/>
          <w:szCs w:val="28"/>
        </w:rPr>
        <w:t>结合九原区实地情况</w:t>
      </w:r>
      <w:r>
        <w:rPr>
          <w:rFonts w:cs="Times New Roman"/>
          <w:sz w:val="28"/>
          <w:szCs w:val="28"/>
        </w:rPr>
        <w:t>统筹调配</w:t>
      </w:r>
      <w:r>
        <w:rPr>
          <w:rFonts w:hint="eastAsia" w:cs="Times New Roman"/>
          <w:sz w:val="28"/>
          <w:szCs w:val="28"/>
        </w:rPr>
        <w:t>九原区</w:t>
      </w:r>
      <w:r>
        <w:rPr>
          <w:rFonts w:cs="Times New Roman"/>
          <w:sz w:val="28"/>
          <w:szCs w:val="28"/>
        </w:rPr>
        <w:t>本地地表水、黄河水、地下水、非常规水等“四大水源”与生活、工业、农业、生态等“四大用户”，用足用好本地水，科学调配黄河水。黄河水及优质地下水优先保障生活，非常规水优先保障工业，农业用水结合灌区所在区域地表、地下水源条件就近取水，生态环境用水以再生水为主。科学谋划</w:t>
      </w:r>
      <w:r>
        <w:rPr>
          <w:rFonts w:hint="eastAsia" w:cs="Times New Roman"/>
          <w:sz w:val="28"/>
          <w:szCs w:val="28"/>
        </w:rPr>
        <w:t>区域</w:t>
      </w:r>
      <w:r>
        <w:rPr>
          <w:rFonts w:cs="Times New Roman"/>
          <w:sz w:val="28"/>
          <w:szCs w:val="28"/>
        </w:rPr>
        <w:t>应急备用和战略储备水源体系建设，增强供水抗风险能力，实现安全保障、优水优用、科学配置。</w:t>
      </w:r>
      <w:r>
        <w:rPr>
          <w:rFonts w:hint="eastAsia" w:cs="Times New Roman"/>
          <w:sz w:val="28"/>
          <w:szCs w:val="28"/>
        </w:rPr>
        <w:t>在</w:t>
      </w:r>
      <w:r>
        <w:rPr>
          <w:rFonts w:cs="Times New Roman"/>
          <w:sz w:val="28"/>
          <w:szCs w:val="28"/>
        </w:rPr>
        <w:t>构建</w:t>
      </w:r>
      <w:r>
        <w:rPr>
          <w:rFonts w:hint="eastAsia" w:cs="Times New Roman"/>
          <w:sz w:val="28"/>
          <w:szCs w:val="28"/>
        </w:rPr>
        <w:t>包头市</w:t>
      </w:r>
      <w:r>
        <w:rPr>
          <w:rFonts w:cs="Times New Roman"/>
          <w:sz w:val="28"/>
          <w:szCs w:val="28"/>
        </w:rPr>
        <w:t>“两横七纵、多源调配”水资源空间均衡配置新格局</w:t>
      </w:r>
      <w:r>
        <w:rPr>
          <w:rFonts w:hint="eastAsia" w:cs="Times New Roman"/>
          <w:sz w:val="28"/>
          <w:szCs w:val="28"/>
        </w:rPr>
        <w:t>框架下，（</w:t>
      </w:r>
      <w:r>
        <w:rPr>
          <w:rFonts w:cs="Times New Roman"/>
          <w:sz w:val="28"/>
          <w:szCs w:val="28"/>
        </w:rPr>
        <w:t>“两横”指黄河水源带和从西向东的乌梁素海调水工程；“七纵”是指包头境内南北走向的山北地区引调水工程、艾不盖河、四道沙河、二道沙河、五当沟、水涧沟、美岱沟等七条区域内主要供水水源带；“多源调配”是指以“两横七纵”为主要通道，对黄河水、当地地表水、地下水、非常规水等多种水源进行统一优化调配</w:t>
      </w:r>
      <w:r>
        <w:rPr>
          <w:rFonts w:hint="eastAsia" w:cs="Times New Roman"/>
          <w:sz w:val="28"/>
          <w:szCs w:val="28"/>
        </w:rPr>
        <w:t>），九原区配合做好</w:t>
      </w:r>
      <w:r>
        <w:rPr>
          <w:rFonts w:cs="Times New Roman"/>
          <w:sz w:val="28"/>
          <w:szCs w:val="28"/>
        </w:rPr>
        <w:t>“七纵”</w:t>
      </w:r>
      <w:r>
        <w:rPr>
          <w:rFonts w:hint="eastAsia" w:cs="Times New Roman"/>
          <w:sz w:val="28"/>
          <w:szCs w:val="28"/>
        </w:rPr>
        <w:t>中</w:t>
      </w:r>
      <w:r>
        <w:rPr>
          <w:rFonts w:cs="Times New Roman"/>
          <w:sz w:val="28"/>
          <w:szCs w:val="28"/>
        </w:rPr>
        <w:t>四道沙河、二道沙河引调水工程</w:t>
      </w:r>
      <w:r>
        <w:rPr>
          <w:rFonts w:hint="eastAsia" w:cs="Times New Roman"/>
          <w:sz w:val="28"/>
          <w:szCs w:val="28"/>
        </w:rPr>
        <w:t>及</w:t>
      </w:r>
      <w:r>
        <w:rPr>
          <w:rFonts w:cs="Times New Roman"/>
          <w:sz w:val="28"/>
          <w:szCs w:val="28"/>
        </w:rPr>
        <w:t>对黄河水、</w:t>
      </w:r>
      <w:r>
        <w:rPr>
          <w:rFonts w:hint="eastAsia" w:cs="Times New Roman"/>
          <w:sz w:val="28"/>
          <w:szCs w:val="28"/>
        </w:rPr>
        <w:t>九原区</w:t>
      </w:r>
      <w:r>
        <w:rPr>
          <w:rFonts w:cs="Times New Roman"/>
          <w:sz w:val="28"/>
          <w:szCs w:val="28"/>
        </w:rPr>
        <w:t>地表水、地下水、非常规水等多种水源进行统一优化调配</w:t>
      </w:r>
      <w:r>
        <w:rPr>
          <w:rFonts w:hint="eastAsia" w:cs="Times New Roman"/>
          <w:sz w:val="28"/>
          <w:szCs w:val="28"/>
        </w:rPr>
        <w:t>。</w:t>
      </w:r>
    </w:p>
    <w:p w14:paraId="5641EDAF">
      <w:pPr>
        <w:pStyle w:val="4"/>
        <w:widowControl/>
        <w:adjustRightInd w:val="0"/>
        <w:spacing w:before="0" w:after="0" w:line="360" w:lineRule="auto"/>
        <w:jc w:val="left"/>
        <w:rPr>
          <w:rFonts w:eastAsia="黑体" w:cs="Times New Roman"/>
          <w:b w:val="0"/>
          <w:bCs w:val="0"/>
          <w:kern w:val="0"/>
          <w:sz w:val="28"/>
          <w:szCs w:val="28"/>
        </w:rPr>
      </w:pPr>
      <w:bookmarkStart w:id="107" w:name="_Toc198652051"/>
      <w:r>
        <w:rPr>
          <w:rFonts w:hint="eastAsia" w:eastAsia="黑体" w:cs="Times New Roman"/>
          <w:b w:val="0"/>
          <w:bCs w:val="0"/>
          <w:kern w:val="0"/>
          <w:sz w:val="28"/>
          <w:szCs w:val="28"/>
        </w:rPr>
        <w:t>4.3.2</w:t>
      </w:r>
      <w:r>
        <w:rPr>
          <w:rFonts w:eastAsia="黑体" w:cs="Times New Roman"/>
          <w:b w:val="0"/>
          <w:bCs w:val="0"/>
          <w:kern w:val="0"/>
          <w:sz w:val="28"/>
          <w:szCs w:val="28"/>
        </w:rPr>
        <w:t>配置</w:t>
      </w:r>
      <w:r>
        <w:rPr>
          <w:rFonts w:hint="eastAsia" w:eastAsia="黑体" w:cs="Times New Roman"/>
          <w:b w:val="0"/>
          <w:bCs w:val="0"/>
          <w:kern w:val="0"/>
          <w:sz w:val="28"/>
          <w:szCs w:val="28"/>
        </w:rPr>
        <w:t>方案</w:t>
      </w:r>
      <w:bookmarkEnd w:id="107"/>
    </w:p>
    <w:p w14:paraId="6EE378FF">
      <w:pPr>
        <w:widowControl/>
        <w:adjustRightInd w:val="0"/>
        <w:ind w:firstLine="560" w:firstLineChars="200"/>
        <w:rPr>
          <w:rFonts w:cs="Times New Roman"/>
          <w:sz w:val="28"/>
          <w:szCs w:val="28"/>
        </w:rPr>
      </w:pPr>
      <w:r>
        <w:rPr>
          <w:rFonts w:hint="eastAsia" w:cs="Times New Roman"/>
          <w:sz w:val="28"/>
          <w:szCs w:val="28"/>
        </w:rPr>
        <w:t>九原区规划年2035年</w:t>
      </w:r>
      <w:r>
        <w:rPr>
          <w:rFonts w:cs="Times New Roman"/>
          <w:sz w:val="28"/>
          <w:szCs w:val="28"/>
        </w:rPr>
        <w:t>生态用水</w:t>
      </w:r>
      <w:r>
        <w:rPr>
          <w:rFonts w:hint="eastAsia" w:cs="Times New Roman"/>
          <w:sz w:val="28"/>
          <w:szCs w:val="28"/>
        </w:rPr>
        <w:t>和第二产业（工业）</w:t>
      </w:r>
      <w:r>
        <w:rPr>
          <w:rFonts w:cs="Times New Roman"/>
          <w:sz w:val="28"/>
          <w:szCs w:val="28"/>
        </w:rPr>
        <w:t>取用再生</w:t>
      </w:r>
      <w:r>
        <w:rPr>
          <w:rFonts w:hint="eastAsia" w:cs="Times New Roman"/>
          <w:sz w:val="28"/>
          <w:szCs w:val="28"/>
        </w:rPr>
        <w:t>水</w:t>
      </w:r>
      <w:r>
        <w:rPr>
          <w:rFonts w:cs="Times New Roman"/>
          <w:sz w:val="28"/>
          <w:szCs w:val="28"/>
        </w:rPr>
        <w:t>，居民生活</w:t>
      </w:r>
      <w:r>
        <w:rPr>
          <w:rFonts w:hint="eastAsia" w:cs="Times New Roman"/>
          <w:sz w:val="28"/>
          <w:szCs w:val="28"/>
        </w:rPr>
        <w:t>和</w:t>
      </w:r>
      <w:r>
        <w:rPr>
          <w:rFonts w:cs="Times New Roman"/>
          <w:sz w:val="28"/>
          <w:szCs w:val="28"/>
        </w:rPr>
        <w:t>第三产业用水</w:t>
      </w:r>
      <w:r>
        <w:rPr>
          <w:rFonts w:hint="eastAsia" w:cs="Times New Roman"/>
          <w:sz w:val="28"/>
          <w:szCs w:val="28"/>
        </w:rPr>
        <w:t>取用</w:t>
      </w:r>
      <w:r>
        <w:rPr>
          <w:rFonts w:cs="Times New Roman"/>
          <w:sz w:val="28"/>
          <w:szCs w:val="28"/>
        </w:rPr>
        <w:t>自来水</w:t>
      </w:r>
      <w:r>
        <w:rPr>
          <w:rFonts w:hint="eastAsia" w:cs="Times New Roman"/>
          <w:sz w:val="28"/>
          <w:szCs w:val="28"/>
        </w:rPr>
        <w:t>（地下水）、第一产业取用地表水和地下水</w:t>
      </w:r>
      <w:r>
        <w:rPr>
          <w:rFonts w:cs="Times New Roman"/>
          <w:sz w:val="28"/>
          <w:szCs w:val="28"/>
        </w:rPr>
        <w:t>。配置方案见表</w:t>
      </w:r>
      <w:r>
        <w:rPr>
          <w:rFonts w:hint="eastAsia" w:cs="Times New Roman"/>
          <w:sz w:val="28"/>
          <w:szCs w:val="28"/>
        </w:rPr>
        <w:t>4</w:t>
      </w:r>
      <w:r>
        <w:rPr>
          <w:rFonts w:cs="Times New Roman"/>
          <w:sz w:val="28"/>
          <w:szCs w:val="28"/>
        </w:rPr>
        <w:t>-</w:t>
      </w:r>
      <w:r>
        <w:rPr>
          <w:rFonts w:hint="eastAsia" w:cs="Times New Roman"/>
          <w:sz w:val="28"/>
          <w:szCs w:val="28"/>
        </w:rPr>
        <w:t>1</w:t>
      </w:r>
      <w:r>
        <w:rPr>
          <w:rFonts w:cs="Times New Roman"/>
          <w:sz w:val="28"/>
          <w:szCs w:val="28"/>
        </w:rPr>
        <w:t>1</w:t>
      </w:r>
      <w:r>
        <w:rPr>
          <w:rFonts w:hint="eastAsia" w:cs="Times New Roman"/>
          <w:sz w:val="28"/>
          <w:szCs w:val="28"/>
        </w:rPr>
        <w:t>。</w:t>
      </w:r>
    </w:p>
    <w:p w14:paraId="27A5B2AB">
      <w:pPr>
        <w:widowControl/>
        <w:adjustRightInd w:val="0"/>
        <w:ind w:firstLine="560" w:firstLineChars="200"/>
        <w:rPr>
          <w:rFonts w:cs="Times New Roman"/>
          <w:sz w:val="28"/>
          <w:szCs w:val="28"/>
        </w:rPr>
      </w:pPr>
      <w:r>
        <w:rPr>
          <w:rFonts w:cs="Times New Roman"/>
          <w:sz w:val="28"/>
          <w:szCs w:val="28"/>
        </w:rPr>
        <w:t>规划</w:t>
      </w:r>
      <w:r>
        <w:rPr>
          <w:rFonts w:hint="eastAsia" w:cs="Times New Roman"/>
          <w:sz w:val="28"/>
          <w:szCs w:val="28"/>
        </w:rPr>
        <w:t>年2035</w:t>
      </w:r>
      <w:r>
        <w:rPr>
          <w:rFonts w:cs="Times New Roman"/>
          <w:sz w:val="28"/>
          <w:szCs w:val="28"/>
        </w:rPr>
        <w:t>年</w:t>
      </w:r>
      <w:r>
        <w:rPr>
          <w:rFonts w:hint="eastAsia" w:cs="Times New Roman"/>
          <w:sz w:val="28"/>
          <w:szCs w:val="28"/>
        </w:rPr>
        <w:t>可</w:t>
      </w:r>
      <w:r>
        <w:rPr>
          <w:rFonts w:cs="Times New Roman"/>
          <w:sz w:val="28"/>
          <w:szCs w:val="28"/>
        </w:rPr>
        <w:t>供水量8215万m</w:t>
      </w:r>
      <w:r>
        <w:rPr>
          <w:rFonts w:cs="Times New Roman"/>
          <w:sz w:val="28"/>
          <w:szCs w:val="28"/>
          <w:vertAlign w:val="superscript"/>
        </w:rPr>
        <w:t>3</w:t>
      </w:r>
      <w:r>
        <w:rPr>
          <w:rFonts w:hint="eastAsia" w:cs="Times New Roman"/>
          <w:sz w:val="28"/>
          <w:szCs w:val="28"/>
        </w:rPr>
        <w:t>，配置水量</w:t>
      </w:r>
      <w:r>
        <w:rPr>
          <w:rFonts w:cs="Times New Roman"/>
          <w:sz w:val="28"/>
          <w:szCs w:val="28"/>
        </w:rPr>
        <w:t>占可供</w:t>
      </w:r>
      <w:r>
        <w:rPr>
          <w:rFonts w:hint="eastAsia" w:cs="Times New Roman"/>
          <w:sz w:val="28"/>
          <w:szCs w:val="28"/>
        </w:rPr>
        <w:t>水</w:t>
      </w:r>
      <w:r>
        <w:rPr>
          <w:rFonts w:cs="Times New Roman"/>
          <w:sz w:val="28"/>
          <w:szCs w:val="28"/>
        </w:rPr>
        <w:t>量的</w:t>
      </w:r>
      <w:r>
        <w:rPr>
          <w:rFonts w:hint="eastAsia" w:cs="Times New Roman"/>
          <w:sz w:val="28"/>
          <w:szCs w:val="28"/>
        </w:rPr>
        <w:t>116</w:t>
      </w:r>
      <w:r>
        <w:rPr>
          <w:rFonts w:cs="Times New Roman"/>
          <w:sz w:val="28"/>
          <w:szCs w:val="28"/>
        </w:rPr>
        <w:t>%</w:t>
      </w:r>
      <w:r>
        <w:rPr>
          <w:rFonts w:hint="eastAsia" w:cs="Times New Roman"/>
          <w:sz w:val="28"/>
          <w:szCs w:val="28"/>
        </w:rPr>
        <w:t>，</w:t>
      </w:r>
      <w:r>
        <w:rPr>
          <w:rFonts w:cs="Times New Roman"/>
          <w:sz w:val="28"/>
          <w:szCs w:val="28"/>
        </w:rPr>
        <w:t>其中，地下水供水量为</w:t>
      </w:r>
      <w:r>
        <w:rPr>
          <w:rFonts w:hint="eastAsia" w:cs="Times New Roman"/>
          <w:sz w:val="28"/>
          <w:szCs w:val="28"/>
        </w:rPr>
        <w:t>2085</w:t>
      </w:r>
      <w:r>
        <w:rPr>
          <w:rFonts w:cs="Times New Roman"/>
          <w:sz w:val="28"/>
          <w:szCs w:val="28"/>
        </w:rPr>
        <w:t>万m</w:t>
      </w:r>
      <w:r>
        <w:rPr>
          <w:rFonts w:cs="Times New Roman"/>
          <w:sz w:val="28"/>
          <w:szCs w:val="28"/>
          <w:vertAlign w:val="superscript"/>
        </w:rPr>
        <w:t>3</w:t>
      </w:r>
      <w:r>
        <w:rPr>
          <w:rFonts w:hint="eastAsia" w:cs="Times New Roman"/>
          <w:sz w:val="28"/>
          <w:szCs w:val="28"/>
        </w:rPr>
        <w:t>，配置水量</w:t>
      </w:r>
      <w:r>
        <w:rPr>
          <w:rFonts w:cs="Times New Roman"/>
          <w:sz w:val="28"/>
          <w:szCs w:val="28"/>
        </w:rPr>
        <w:t>占地下水可供水水量的</w:t>
      </w:r>
      <w:r>
        <w:rPr>
          <w:rFonts w:hint="eastAsia" w:cs="Times New Roman"/>
          <w:sz w:val="28"/>
          <w:szCs w:val="28"/>
        </w:rPr>
        <w:t>149</w:t>
      </w:r>
      <w:r>
        <w:rPr>
          <w:rFonts w:cs="Times New Roman"/>
          <w:sz w:val="28"/>
          <w:szCs w:val="28"/>
        </w:rPr>
        <w:t>%</w:t>
      </w:r>
      <w:r>
        <w:rPr>
          <w:rFonts w:hint="eastAsia" w:cs="Times New Roman"/>
          <w:sz w:val="28"/>
          <w:szCs w:val="28"/>
        </w:rPr>
        <w:t>，</w:t>
      </w:r>
      <w:r>
        <w:rPr>
          <w:rFonts w:cs="Times New Roman"/>
          <w:sz w:val="28"/>
          <w:szCs w:val="28"/>
        </w:rPr>
        <w:t>再生水供水</w:t>
      </w:r>
      <w:r>
        <w:rPr>
          <w:rFonts w:hint="eastAsia" w:cs="Times New Roman"/>
          <w:sz w:val="28"/>
          <w:szCs w:val="28"/>
        </w:rPr>
        <w:t>量</w:t>
      </w:r>
      <w:r>
        <w:rPr>
          <w:rFonts w:cs="Times New Roman"/>
          <w:sz w:val="28"/>
          <w:szCs w:val="28"/>
        </w:rPr>
        <w:t>为1276万m</w:t>
      </w:r>
      <w:r>
        <w:rPr>
          <w:rFonts w:cs="Times New Roman"/>
          <w:sz w:val="28"/>
          <w:szCs w:val="28"/>
          <w:vertAlign w:val="superscript"/>
        </w:rPr>
        <w:t>3</w:t>
      </w:r>
      <w:r>
        <w:rPr>
          <w:rFonts w:hint="eastAsia" w:cs="Times New Roman"/>
          <w:sz w:val="28"/>
          <w:szCs w:val="28"/>
        </w:rPr>
        <w:t>，配置水量</w:t>
      </w:r>
      <w:r>
        <w:rPr>
          <w:rFonts w:cs="Times New Roman"/>
          <w:sz w:val="28"/>
          <w:szCs w:val="28"/>
        </w:rPr>
        <w:t>占再生水可供水量的</w:t>
      </w:r>
      <w:r>
        <w:rPr>
          <w:rFonts w:hint="eastAsia" w:cs="Times New Roman"/>
          <w:sz w:val="28"/>
          <w:szCs w:val="28"/>
        </w:rPr>
        <w:t>124</w:t>
      </w:r>
      <w:r>
        <w:rPr>
          <w:rFonts w:cs="Times New Roman"/>
          <w:sz w:val="28"/>
          <w:szCs w:val="28"/>
        </w:rPr>
        <w:t>%</w:t>
      </w:r>
      <w:r>
        <w:rPr>
          <w:rFonts w:hint="eastAsia" w:cs="Times New Roman"/>
          <w:sz w:val="28"/>
          <w:szCs w:val="28"/>
        </w:rPr>
        <w:t>，地表</w:t>
      </w:r>
      <w:r>
        <w:rPr>
          <w:rFonts w:cs="Times New Roman"/>
          <w:sz w:val="28"/>
          <w:szCs w:val="28"/>
        </w:rPr>
        <w:t>水供水量为4854万m</w:t>
      </w:r>
      <w:r>
        <w:rPr>
          <w:rFonts w:cs="Times New Roman"/>
          <w:sz w:val="28"/>
          <w:szCs w:val="28"/>
          <w:vertAlign w:val="superscript"/>
        </w:rPr>
        <w:t>3</w:t>
      </w:r>
      <w:r>
        <w:rPr>
          <w:rFonts w:hint="eastAsia" w:cs="Times New Roman"/>
          <w:sz w:val="28"/>
          <w:szCs w:val="28"/>
        </w:rPr>
        <w:t>，配置水量占再生水</w:t>
      </w:r>
      <w:r>
        <w:rPr>
          <w:rFonts w:cs="Times New Roman"/>
          <w:sz w:val="28"/>
          <w:szCs w:val="28"/>
        </w:rPr>
        <w:t>可供水量的100%</w:t>
      </w:r>
      <w:r>
        <w:rPr>
          <w:rFonts w:hint="eastAsia" w:cs="Times New Roman"/>
          <w:sz w:val="28"/>
          <w:szCs w:val="28"/>
        </w:rPr>
        <w:t>。</w:t>
      </w:r>
    </w:p>
    <w:p w14:paraId="1AC4107B">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 1 \* GB3 </w:instrText>
      </w:r>
      <w:r>
        <w:rPr>
          <w:rFonts w:cs="Times New Roman"/>
          <w:sz w:val="28"/>
          <w:szCs w:val="28"/>
        </w:rPr>
        <w:fldChar w:fldCharType="separate"/>
      </w:r>
      <w:r>
        <w:rPr>
          <w:rFonts w:hint="eastAsia" w:cs="Times New Roman"/>
          <w:sz w:val="28"/>
          <w:szCs w:val="28"/>
        </w:rPr>
        <w:t>①</w:t>
      </w:r>
      <w:r>
        <w:rPr>
          <w:rFonts w:cs="Times New Roman"/>
          <w:sz w:val="28"/>
          <w:szCs w:val="28"/>
        </w:rPr>
        <w:fldChar w:fldCharType="end"/>
      </w:r>
      <w:r>
        <w:rPr>
          <w:rFonts w:cs="Times New Roman"/>
          <w:sz w:val="28"/>
          <w:szCs w:val="28"/>
        </w:rPr>
        <w:t>生活、</w:t>
      </w:r>
      <w:r>
        <w:rPr>
          <w:rFonts w:hint="eastAsia" w:cs="Times New Roman"/>
          <w:sz w:val="28"/>
          <w:szCs w:val="28"/>
        </w:rPr>
        <w:t>工业、</w:t>
      </w:r>
      <w:r>
        <w:rPr>
          <w:rFonts w:cs="Times New Roman"/>
          <w:sz w:val="28"/>
          <w:szCs w:val="28"/>
        </w:rPr>
        <w:t>建筑业</w:t>
      </w:r>
      <w:r>
        <w:rPr>
          <w:rFonts w:hint="eastAsia" w:cs="Times New Roman"/>
          <w:sz w:val="28"/>
          <w:szCs w:val="28"/>
        </w:rPr>
        <w:t>、第一产业、</w:t>
      </w:r>
      <w:r>
        <w:rPr>
          <w:rFonts w:cs="Times New Roman"/>
          <w:sz w:val="28"/>
          <w:szCs w:val="28"/>
        </w:rPr>
        <w:t>第三产业</w:t>
      </w:r>
      <w:r>
        <w:rPr>
          <w:rFonts w:hint="eastAsia" w:cs="Times New Roman"/>
          <w:sz w:val="28"/>
          <w:szCs w:val="28"/>
        </w:rPr>
        <w:t>和生态需水情况</w:t>
      </w:r>
    </w:p>
    <w:p w14:paraId="6EB907A9">
      <w:pPr>
        <w:widowControl/>
        <w:adjustRightInd w:val="0"/>
        <w:ind w:firstLine="560" w:firstLineChars="200"/>
        <w:rPr>
          <w:rFonts w:cs="Times New Roman"/>
          <w:sz w:val="28"/>
          <w:szCs w:val="28"/>
        </w:rPr>
      </w:pPr>
      <w:r>
        <w:rPr>
          <w:rFonts w:cs="Times New Roman"/>
          <w:sz w:val="28"/>
          <w:szCs w:val="28"/>
        </w:rPr>
        <w:t>2</w:t>
      </w:r>
      <w:r>
        <w:rPr>
          <w:rFonts w:hint="eastAsia" w:cs="Times New Roman"/>
          <w:sz w:val="28"/>
          <w:szCs w:val="28"/>
        </w:rPr>
        <w:t>03</w:t>
      </w:r>
      <w:r>
        <w:rPr>
          <w:rFonts w:cs="Times New Roman"/>
          <w:sz w:val="28"/>
          <w:szCs w:val="28"/>
        </w:rPr>
        <w:t>5年九原区生活需水量为</w:t>
      </w:r>
      <w:r>
        <w:rPr>
          <w:rFonts w:hint="eastAsia" w:cs="Times New Roman"/>
          <w:sz w:val="28"/>
          <w:szCs w:val="28"/>
        </w:rPr>
        <w:t>771.73</w:t>
      </w:r>
      <w:r>
        <w:rPr>
          <w:rFonts w:cs="Times New Roman"/>
          <w:sz w:val="28"/>
          <w:szCs w:val="28"/>
        </w:rPr>
        <w:t>万m</w:t>
      </w:r>
      <w:r>
        <w:rPr>
          <w:rFonts w:cs="Times New Roman"/>
          <w:sz w:val="28"/>
          <w:szCs w:val="28"/>
          <w:vertAlign w:val="superscript"/>
        </w:rPr>
        <w:t>3</w:t>
      </w:r>
      <w:r>
        <w:rPr>
          <w:rFonts w:hint="eastAsia" w:cs="Times New Roman"/>
          <w:sz w:val="28"/>
          <w:szCs w:val="28"/>
        </w:rPr>
        <w:t>，工业需水量为1698.59</w:t>
      </w:r>
      <w:r>
        <w:rPr>
          <w:rFonts w:cs="Times New Roman"/>
          <w:sz w:val="28"/>
          <w:szCs w:val="28"/>
        </w:rPr>
        <w:t>万m</w:t>
      </w:r>
      <w:r>
        <w:rPr>
          <w:rFonts w:cs="Times New Roman"/>
          <w:sz w:val="28"/>
          <w:szCs w:val="28"/>
          <w:vertAlign w:val="superscript"/>
        </w:rPr>
        <w:t>3</w:t>
      </w:r>
      <w:r>
        <w:rPr>
          <w:rFonts w:hint="eastAsia" w:cs="Times New Roman"/>
          <w:sz w:val="28"/>
          <w:szCs w:val="28"/>
        </w:rPr>
        <w:t>，</w:t>
      </w:r>
      <w:r>
        <w:rPr>
          <w:rFonts w:cs="Times New Roman"/>
          <w:sz w:val="28"/>
          <w:szCs w:val="28"/>
        </w:rPr>
        <w:t>建筑业</w:t>
      </w:r>
      <w:r>
        <w:rPr>
          <w:rFonts w:hint="eastAsia" w:cs="Times New Roman"/>
          <w:sz w:val="28"/>
          <w:szCs w:val="28"/>
        </w:rPr>
        <w:t>需水</w:t>
      </w:r>
      <w:r>
        <w:rPr>
          <w:rFonts w:cs="Times New Roman"/>
          <w:sz w:val="28"/>
          <w:szCs w:val="28"/>
        </w:rPr>
        <w:t>3.</w:t>
      </w:r>
      <w:r>
        <w:rPr>
          <w:rFonts w:hint="eastAsia" w:cs="Times New Roman"/>
          <w:sz w:val="28"/>
          <w:szCs w:val="28"/>
        </w:rPr>
        <w:t>75</w:t>
      </w:r>
      <w:r>
        <w:rPr>
          <w:rFonts w:cs="Times New Roman"/>
          <w:sz w:val="28"/>
          <w:szCs w:val="28"/>
        </w:rPr>
        <w:t>万m</w:t>
      </w:r>
      <w:r>
        <w:rPr>
          <w:rFonts w:cs="Times New Roman"/>
          <w:sz w:val="28"/>
          <w:szCs w:val="28"/>
          <w:vertAlign w:val="superscript"/>
        </w:rPr>
        <w:t>3</w:t>
      </w:r>
      <w:r>
        <w:rPr>
          <w:rFonts w:hint="eastAsia" w:cs="Times New Roman"/>
          <w:sz w:val="28"/>
          <w:szCs w:val="28"/>
        </w:rPr>
        <w:t>，第一产业需水量为7105.87</w:t>
      </w:r>
      <w:r>
        <w:rPr>
          <w:rFonts w:cs="Times New Roman"/>
          <w:sz w:val="28"/>
          <w:szCs w:val="28"/>
        </w:rPr>
        <w:t>万m</w:t>
      </w:r>
      <w:r>
        <w:rPr>
          <w:rFonts w:cs="Times New Roman"/>
          <w:sz w:val="28"/>
          <w:szCs w:val="28"/>
          <w:vertAlign w:val="superscript"/>
        </w:rPr>
        <w:t>3</w:t>
      </w:r>
      <w:r>
        <w:rPr>
          <w:rFonts w:hint="eastAsia" w:cs="Times New Roman"/>
          <w:sz w:val="28"/>
          <w:szCs w:val="28"/>
        </w:rPr>
        <w:t>，第三产业需水量82.00</w:t>
      </w:r>
      <w:r>
        <w:rPr>
          <w:rFonts w:cs="Times New Roman"/>
          <w:sz w:val="28"/>
          <w:szCs w:val="28"/>
        </w:rPr>
        <w:t>万m</w:t>
      </w:r>
      <w:r>
        <w:rPr>
          <w:rFonts w:cs="Times New Roman"/>
          <w:sz w:val="28"/>
          <w:szCs w:val="28"/>
          <w:vertAlign w:val="superscript"/>
        </w:rPr>
        <w:t>3</w:t>
      </w:r>
      <w:r>
        <w:rPr>
          <w:rFonts w:hint="eastAsia" w:cs="Times New Roman"/>
          <w:sz w:val="28"/>
          <w:szCs w:val="28"/>
        </w:rPr>
        <w:t>，生态需水量为351.75</w:t>
      </w:r>
      <w:r>
        <w:rPr>
          <w:rFonts w:cs="Times New Roman"/>
          <w:sz w:val="28"/>
          <w:szCs w:val="28"/>
        </w:rPr>
        <w:t>万m</w:t>
      </w:r>
      <w:r>
        <w:rPr>
          <w:rFonts w:cs="Times New Roman"/>
          <w:sz w:val="28"/>
          <w:szCs w:val="28"/>
          <w:vertAlign w:val="superscript"/>
        </w:rPr>
        <w:t>3</w:t>
      </w:r>
      <w:r>
        <w:rPr>
          <w:rFonts w:hint="eastAsia" w:cs="Times New Roman"/>
          <w:sz w:val="28"/>
          <w:szCs w:val="28"/>
        </w:rPr>
        <w:t>，合计需水10013.7</w:t>
      </w:r>
      <w:r>
        <w:rPr>
          <w:rFonts w:cs="Times New Roman"/>
          <w:sz w:val="28"/>
          <w:szCs w:val="28"/>
        </w:rPr>
        <w:t>万m</w:t>
      </w:r>
      <w:r>
        <w:rPr>
          <w:rFonts w:cs="Times New Roman"/>
          <w:sz w:val="28"/>
          <w:szCs w:val="28"/>
          <w:vertAlign w:val="superscript"/>
        </w:rPr>
        <w:t>3</w:t>
      </w:r>
      <w:r>
        <w:rPr>
          <w:rFonts w:hint="eastAsia" w:cs="Times New Roman"/>
          <w:sz w:val="28"/>
          <w:szCs w:val="28"/>
        </w:rPr>
        <w:t>。</w:t>
      </w:r>
    </w:p>
    <w:p w14:paraId="4B67DB73">
      <w:pPr>
        <w:widowControl/>
        <w:adjustRightInd w:val="0"/>
        <w:ind w:firstLine="560" w:firstLineChars="200"/>
        <w:rPr>
          <w:rFonts w:cs="Times New Roman"/>
          <w:sz w:val="28"/>
          <w:szCs w:val="28"/>
        </w:rPr>
      </w:pPr>
      <w:r>
        <w:rPr>
          <w:rFonts w:hint="eastAsia" w:cs="Times New Roman"/>
          <w:sz w:val="28"/>
          <w:szCs w:val="28"/>
        </w:rPr>
        <w:t>②分配方案</w:t>
      </w:r>
    </w:p>
    <w:p w14:paraId="5D2F1265">
      <w:pPr>
        <w:widowControl/>
        <w:adjustRightInd w:val="0"/>
        <w:ind w:firstLine="560" w:firstLineChars="200"/>
        <w:rPr>
          <w:rFonts w:cs="Times New Roman"/>
          <w:sz w:val="28"/>
          <w:szCs w:val="28"/>
        </w:rPr>
      </w:pPr>
      <w:r>
        <w:rPr>
          <w:rFonts w:cs="Times New Roman"/>
          <w:sz w:val="28"/>
          <w:szCs w:val="28"/>
        </w:rPr>
        <w:t>规划水平年20</w:t>
      </w:r>
      <w:r>
        <w:rPr>
          <w:rFonts w:hint="eastAsia" w:cs="Times New Roman"/>
          <w:sz w:val="28"/>
          <w:szCs w:val="28"/>
        </w:rPr>
        <w:t>3</w:t>
      </w:r>
      <w:r>
        <w:rPr>
          <w:rFonts w:cs="Times New Roman"/>
          <w:sz w:val="28"/>
          <w:szCs w:val="28"/>
        </w:rPr>
        <w:t>5年，</w:t>
      </w:r>
      <w:r>
        <w:rPr>
          <w:rFonts w:hint="eastAsia" w:cs="Times New Roman"/>
          <w:sz w:val="28"/>
          <w:szCs w:val="28"/>
        </w:rPr>
        <w:t>九原区地下水2085</w:t>
      </w:r>
      <w:r>
        <w:rPr>
          <w:rFonts w:cs="Times New Roman"/>
          <w:sz w:val="28"/>
          <w:szCs w:val="28"/>
        </w:rPr>
        <w:t>万m</w:t>
      </w:r>
      <w:r>
        <w:rPr>
          <w:rFonts w:cs="Times New Roman"/>
          <w:sz w:val="28"/>
          <w:szCs w:val="28"/>
          <w:vertAlign w:val="superscript"/>
        </w:rPr>
        <w:t>3</w:t>
      </w:r>
      <w:r>
        <w:rPr>
          <w:rFonts w:hint="eastAsia" w:cs="Times New Roman"/>
          <w:sz w:val="28"/>
          <w:szCs w:val="28"/>
        </w:rPr>
        <w:t>用于九原区</w:t>
      </w:r>
      <w:r>
        <w:rPr>
          <w:rFonts w:cs="Times New Roman"/>
          <w:sz w:val="28"/>
          <w:szCs w:val="28"/>
        </w:rPr>
        <w:t>生活、</w:t>
      </w:r>
      <w:r>
        <w:rPr>
          <w:rFonts w:hint="eastAsia" w:cs="Times New Roman"/>
          <w:sz w:val="28"/>
          <w:szCs w:val="28"/>
        </w:rPr>
        <w:t>第一产业、</w:t>
      </w:r>
      <w:r>
        <w:rPr>
          <w:rFonts w:cs="Times New Roman"/>
          <w:sz w:val="28"/>
          <w:szCs w:val="28"/>
        </w:rPr>
        <w:t>建筑业和第三产业用水</w:t>
      </w:r>
      <w:r>
        <w:rPr>
          <w:rFonts w:hint="eastAsia" w:cs="Times New Roman"/>
          <w:sz w:val="28"/>
          <w:szCs w:val="28"/>
        </w:rPr>
        <w:t>。其中生活配水771.73</w:t>
      </w:r>
      <w:r>
        <w:rPr>
          <w:rFonts w:cs="Times New Roman"/>
          <w:sz w:val="28"/>
          <w:szCs w:val="28"/>
        </w:rPr>
        <w:t>万m</w:t>
      </w:r>
      <w:r>
        <w:rPr>
          <w:rFonts w:cs="Times New Roman"/>
          <w:sz w:val="28"/>
          <w:szCs w:val="28"/>
          <w:vertAlign w:val="superscript"/>
        </w:rPr>
        <w:t>3</w:t>
      </w:r>
      <w:r>
        <w:rPr>
          <w:rFonts w:hint="eastAsia" w:cs="Times New Roman"/>
          <w:sz w:val="28"/>
          <w:szCs w:val="28"/>
        </w:rPr>
        <w:t>，第一产业配水2251.87</w:t>
      </w:r>
      <w:r>
        <w:rPr>
          <w:rFonts w:cs="Times New Roman"/>
          <w:sz w:val="28"/>
          <w:szCs w:val="28"/>
        </w:rPr>
        <w:t>万m</w:t>
      </w:r>
      <w:r>
        <w:rPr>
          <w:rFonts w:cs="Times New Roman"/>
          <w:sz w:val="28"/>
          <w:szCs w:val="28"/>
          <w:vertAlign w:val="superscript"/>
        </w:rPr>
        <w:t>3</w:t>
      </w:r>
      <w:r>
        <w:rPr>
          <w:rFonts w:hint="eastAsia" w:cs="Times New Roman"/>
          <w:sz w:val="28"/>
          <w:szCs w:val="28"/>
        </w:rPr>
        <w:t>，建筑业配水3</w:t>
      </w:r>
      <w:r>
        <w:rPr>
          <w:rFonts w:cs="Times New Roman"/>
          <w:sz w:val="28"/>
          <w:szCs w:val="28"/>
        </w:rPr>
        <w:t>.3</w:t>
      </w:r>
      <w:r>
        <w:rPr>
          <w:rFonts w:hint="eastAsia" w:cs="Times New Roman"/>
          <w:sz w:val="28"/>
          <w:szCs w:val="28"/>
        </w:rPr>
        <w:t>7</w:t>
      </w:r>
      <w:r>
        <w:rPr>
          <w:rFonts w:cs="Times New Roman"/>
          <w:sz w:val="28"/>
          <w:szCs w:val="28"/>
        </w:rPr>
        <w:t>万m</w:t>
      </w:r>
      <w:r>
        <w:rPr>
          <w:rFonts w:cs="Times New Roman"/>
          <w:sz w:val="28"/>
          <w:szCs w:val="28"/>
          <w:vertAlign w:val="superscript"/>
        </w:rPr>
        <w:t>3</w:t>
      </w:r>
      <w:r>
        <w:rPr>
          <w:rFonts w:hint="eastAsia" w:cs="Times New Roman"/>
          <w:sz w:val="28"/>
          <w:szCs w:val="28"/>
        </w:rPr>
        <w:t>，第三产业配水82.00</w:t>
      </w:r>
      <w:r>
        <w:rPr>
          <w:rFonts w:cs="Times New Roman"/>
          <w:sz w:val="28"/>
          <w:szCs w:val="28"/>
        </w:rPr>
        <w:t>万m</w:t>
      </w:r>
      <w:r>
        <w:rPr>
          <w:rFonts w:cs="Times New Roman"/>
          <w:sz w:val="28"/>
          <w:szCs w:val="28"/>
          <w:vertAlign w:val="superscript"/>
        </w:rPr>
        <w:t>3</w:t>
      </w:r>
      <w:r>
        <w:rPr>
          <w:rFonts w:hint="eastAsia" w:cs="Times New Roman"/>
          <w:sz w:val="28"/>
          <w:szCs w:val="28"/>
        </w:rPr>
        <w:t>，缺水1024.35</w:t>
      </w:r>
      <w:r>
        <w:rPr>
          <w:rFonts w:cs="Times New Roman"/>
          <w:sz w:val="28"/>
          <w:szCs w:val="28"/>
        </w:rPr>
        <w:t>万m</w:t>
      </w:r>
      <w:r>
        <w:rPr>
          <w:rFonts w:cs="Times New Roman"/>
          <w:sz w:val="28"/>
          <w:szCs w:val="28"/>
          <w:vertAlign w:val="superscript"/>
        </w:rPr>
        <w:t>3</w:t>
      </w:r>
      <w:r>
        <w:rPr>
          <w:rFonts w:hint="eastAsia" w:cs="Times New Roman"/>
          <w:sz w:val="28"/>
          <w:szCs w:val="28"/>
        </w:rPr>
        <w:t>；提供再生水</w:t>
      </w:r>
      <w:r>
        <w:rPr>
          <w:rFonts w:cs="Times New Roman"/>
          <w:sz w:val="28"/>
          <w:szCs w:val="28"/>
        </w:rPr>
        <w:t>1276万m</w:t>
      </w:r>
      <w:r>
        <w:rPr>
          <w:rFonts w:cs="Times New Roman"/>
          <w:sz w:val="28"/>
          <w:szCs w:val="28"/>
          <w:vertAlign w:val="superscript"/>
        </w:rPr>
        <w:t>3</w:t>
      </w:r>
      <w:r>
        <w:rPr>
          <w:rFonts w:hint="eastAsia" w:cs="Times New Roman"/>
          <w:sz w:val="28"/>
          <w:szCs w:val="28"/>
        </w:rPr>
        <w:t>用于九原区工业和生态</w:t>
      </w:r>
      <w:r>
        <w:rPr>
          <w:rFonts w:cs="Times New Roman"/>
          <w:sz w:val="28"/>
          <w:szCs w:val="28"/>
        </w:rPr>
        <w:t>用水</w:t>
      </w:r>
      <w:r>
        <w:rPr>
          <w:rFonts w:hint="eastAsia" w:cs="Times New Roman"/>
          <w:sz w:val="28"/>
          <w:szCs w:val="28"/>
        </w:rPr>
        <w:t>，其中199.2</w:t>
      </w:r>
      <w:r>
        <w:rPr>
          <w:rFonts w:cs="Times New Roman"/>
          <w:sz w:val="28"/>
          <w:szCs w:val="28"/>
        </w:rPr>
        <w:t>万m</w:t>
      </w:r>
      <w:r>
        <w:rPr>
          <w:rFonts w:cs="Times New Roman"/>
          <w:sz w:val="28"/>
          <w:szCs w:val="28"/>
          <w:vertAlign w:val="superscript"/>
        </w:rPr>
        <w:t>3</w:t>
      </w:r>
      <w:r>
        <w:rPr>
          <w:rFonts w:hint="eastAsia" w:cs="Times New Roman"/>
          <w:sz w:val="28"/>
          <w:szCs w:val="28"/>
        </w:rPr>
        <w:t>用于生态</w:t>
      </w:r>
      <w:r>
        <w:rPr>
          <w:rFonts w:cs="Times New Roman"/>
          <w:sz w:val="28"/>
          <w:szCs w:val="28"/>
        </w:rPr>
        <w:t>用水</w:t>
      </w:r>
      <w:r>
        <w:rPr>
          <w:rFonts w:hint="eastAsia" w:cs="Times New Roman"/>
          <w:sz w:val="28"/>
          <w:szCs w:val="28"/>
        </w:rPr>
        <w:t>，1389.90</w:t>
      </w:r>
      <w:r>
        <w:rPr>
          <w:rFonts w:cs="Times New Roman"/>
          <w:sz w:val="28"/>
          <w:szCs w:val="28"/>
        </w:rPr>
        <w:t>万m</w:t>
      </w:r>
      <w:r>
        <w:rPr>
          <w:rFonts w:cs="Times New Roman"/>
          <w:sz w:val="28"/>
          <w:szCs w:val="28"/>
          <w:vertAlign w:val="superscript"/>
        </w:rPr>
        <w:t>3</w:t>
      </w:r>
      <w:r>
        <w:rPr>
          <w:rFonts w:hint="eastAsia" w:cs="Times New Roman"/>
          <w:sz w:val="28"/>
          <w:szCs w:val="28"/>
        </w:rPr>
        <w:t>用于工业用水，缺水313.10</w:t>
      </w:r>
      <w:r>
        <w:rPr>
          <w:rFonts w:cs="Times New Roman"/>
          <w:sz w:val="28"/>
          <w:szCs w:val="28"/>
        </w:rPr>
        <w:t>万m</w:t>
      </w:r>
      <w:r>
        <w:rPr>
          <w:rFonts w:cs="Times New Roman"/>
          <w:sz w:val="28"/>
          <w:szCs w:val="28"/>
          <w:vertAlign w:val="superscript"/>
        </w:rPr>
        <w:t>3</w:t>
      </w:r>
      <w:r>
        <w:rPr>
          <w:rFonts w:hint="eastAsia" w:cs="Times New Roman"/>
          <w:sz w:val="28"/>
          <w:szCs w:val="28"/>
        </w:rPr>
        <w:t>；提供地表水4</w:t>
      </w:r>
      <w:r>
        <w:rPr>
          <w:rFonts w:cs="Times New Roman"/>
          <w:sz w:val="28"/>
          <w:szCs w:val="28"/>
        </w:rPr>
        <w:t>854万m</w:t>
      </w:r>
      <w:r>
        <w:rPr>
          <w:rFonts w:cs="Times New Roman"/>
          <w:sz w:val="28"/>
          <w:szCs w:val="28"/>
          <w:vertAlign w:val="superscript"/>
        </w:rPr>
        <w:t>3</w:t>
      </w:r>
      <w:r>
        <w:rPr>
          <w:rFonts w:hint="eastAsia" w:cs="Times New Roman"/>
          <w:sz w:val="28"/>
          <w:szCs w:val="28"/>
        </w:rPr>
        <w:t>用于第一产业。由规划年需水情况和配置方案可知，</w:t>
      </w:r>
      <w:r>
        <w:rPr>
          <w:rFonts w:cs="Times New Roman"/>
          <w:sz w:val="28"/>
          <w:szCs w:val="28"/>
        </w:rPr>
        <w:t>规划水平年</w:t>
      </w:r>
      <w:r>
        <w:rPr>
          <w:rFonts w:hint="eastAsia" w:cs="Times New Roman"/>
          <w:sz w:val="28"/>
          <w:szCs w:val="28"/>
        </w:rPr>
        <w:t>2</w:t>
      </w:r>
      <w:r>
        <w:rPr>
          <w:rFonts w:cs="Times New Roman"/>
          <w:sz w:val="28"/>
          <w:szCs w:val="28"/>
        </w:rPr>
        <w:t>03</w:t>
      </w:r>
      <w:r>
        <w:rPr>
          <w:rFonts w:hint="eastAsia" w:cs="Times New Roman"/>
          <w:sz w:val="28"/>
          <w:szCs w:val="28"/>
        </w:rPr>
        <w:t>5年配置后的缺水率为16%。</w:t>
      </w:r>
    </w:p>
    <w:p w14:paraId="5E5ADA69">
      <w:pPr>
        <w:widowControl/>
        <w:adjustRightInd w:val="0"/>
        <w:ind w:firstLine="560" w:firstLineChars="200"/>
        <w:rPr>
          <w:rFonts w:cs="Times New Roman"/>
          <w:sz w:val="28"/>
          <w:szCs w:val="28"/>
        </w:rPr>
        <w:sectPr>
          <w:pgSz w:w="11906" w:h="16838"/>
          <w:pgMar w:top="1440" w:right="1800" w:bottom="1440" w:left="1800" w:header="851" w:footer="992" w:gutter="0"/>
          <w:cols w:space="425" w:num="1"/>
          <w:docGrid w:type="lines" w:linePitch="312" w:charSpace="0"/>
        </w:sectPr>
      </w:pPr>
    </w:p>
    <w:p w14:paraId="778AC328">
      <w:pPr>
        <w:adjustRightInd w:val="0"/>
        <w:spacing w:line="240" w:lineRule="auto"/>
        <w:jc w:val="center"/>
        <w:rPr>
          <w:rFonts w:cs="Times New Roman"/>
          <w:sz w:val="32"/>
          <w:szCs w:val="32"/>
        </w:rPr>
      </w:pPr>
      <w:r>
        <w:rPr>
          <w:rFonts w:hint="eastAsia" w:cs="Times New Roman"/>
          <w:b/>
          <w:sz w:val="28"/>
        </w:rPr>
        <w:t>表4</w:t>
      </w:r>
      <w:r>
        <w:rPr>
          <w:rFonts w:cs="Times New Roman"/>
          <w:b/>
          <w:sz w:val="28"/>
        </w:rPr>
        <w:t>-</w:t>
      </w:r>
      <w:r>
        <w:rPr>
          <w:rFonts w:hint="eastAsia" w:cs="Times New Roman"/>
          <w:b/>
          <w:sz w:val="28"/>
        </w:rPr>
        <w:t xml:space="preserve">11  </w:t>
      </w:r>
      <w:r>
        <w:rPr>
          <w:rFonts w:cs="Times New Roman"/>
          <w:b/>
          <w:bCs/>
          <w:sz w:val="28"/>
          <w:szCs w:val="24"/>
        </w:rPr>
        <w:t>九原区规划水平年水资源配置</w:t>
      </w:r>
      <w:r>
        <w:rPr>
          <w:rFonts w:hint="eastAsia" w:cs="Times New Roman"/>
          <w:b/>
          <w:sz w:val="28"/>
        </w:rPr>
        <w:t xml:space="preserve">  </w:t>
      </w:r>
      <w:r>
        <w:rPr>
          <w:rFonts w:cs="Times New Roman"/>
          <w:b/>
          <w:sz w:val="28"/>
        </w:rPr>
        <w:t>单位：万m</w:t>
      </w:r>
      <w:r>
        <w:rPr>
          <w:rFonts w:cs="Times New Roman"/>
          <w:b/>
          <w:sz w:val="28"/>
          <w:vertAlign w:val="superscript"/>
        </w:rPr>
        <w:t>3</w:t>
      </w:r>
    </w:p>
    <w:tbl>
      <w:tblPr>
        <w:tblStyle w:val="19"/>
        <w:tblW w:w="5000" w:type="pct"/>
        <w:tblInd w:w="0" w:type="dxa"/>
        <w:tblLayout w:type="autofit"/>
        <w:tblCellMar>
          <w:top w:w="0" w:type="dxa"/>
          <w:left w:w="108" w:type="dxa"/>
          <w:bottom w:w="0" w:type="dxa"/>
          <w:right w:w="108" w:type="dxa"/>
        </w:tblCellMar>
      </w:tblPr>
      <w:tblGrid>
        <w:gridCol w:w="1140"/>
        <w:gridCol w:w="1443"/>
        <w:gridCol w:w="1590"/>
        <w:gridCol w:w="1443"/>
        <w:gridCol w:w="1440"/>
        <w:gridCol w:w="1298"/>
        <w:gridCol w:w="1012"/>
        <w:gridCol w:w="1179"/>
        <w:gridCol w:w="890"/>
        <w:gridCol w:w="1023"/>
        <w:gridCol w:w="709"/>
        <w:gridCol w:w="1007"/>
      </w:tblGrid>
      <w:tr w14:paraId="0CEC107E">
        <w:tblPrEx>
          <w:tblCellMar>
            <w:top w:w="0" w:type="dxa"/>
            <w:left w:w="108" w:type="dxa"/>
            <w:bottom w:w="0" w:type="dxa"/>
            <w:right w:w="108" w:type="dxa"/>
          </w:tblCellMar>
        </w:tblPrEx>
        <w:trPr>
          <w:trHeight w:val="300" w:hRule="atLeast"/>
        </w:trPr>
        <w:tc>
          <w:tcPr>
            <w:tcW w:w="402"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14:paraId="419D11F3">
            <w:pPr>
              <w:widowControl/>
              <w:adjustRightInd w:val="0"/>
              <w:spacing w:line="240" w:lineRule="auto"/>
              <w:jc w:val="center"/>
              <w:rPr>
                <w:rFonts w:cs="Times New Roman"/>
                <w:b/>
                <w:bCs/>
                <w:color w:val="000000"/>
                <w:kern w:val="0"/>
                <w:szCs w:val="24"/>
              </w:rPr>
            </w:pPr>
            <w:r>
              <w:rPr>
                <w:rFonts w:cs="Times New Roman"/>
                <w:b/>
                <w:bCs/>
                <w:color w:val="000000"/>
                <w:kern w:val="0"/>
                <w:szCs w:val="24"/>
              </w:rPr>
              <w:t>年份</w:t>
            </w:r>
          </w:p>
        </w:tc>
        <w:tc>
          <w:tcPr>
            <w:tcW w:w="509"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14:paraId="41C67516">
            <w:pPr>
              <w:widowControl/>
              <w:adjustRightInd w:val="0"/>
              <w:spacing w:line="240" w:lineRule="auto"/>
              <w:jc w:val="center"/>
              <w:rPr>
                <w:rFonts w:cs="Times New Roman"/>
                <w:b/>
                <w:bCs/>
                <w:color w:val="000000"/>
                <w:kern w:val="0"/>
                <w:szCs w:val="24"/>
              </w:rPr>
            </w:pPr>
            <w:r>
              <w:rPr>
                <w:rFonts w:cs="Times New Roman"/>
                <w:b/>
                <w:bCs/>
                <w:color w:val="000000"/>
                <w:kern w:val="0"/>
                <w:szCs w:val="24"/>
              </w:rPr>
              <w:t>水源</w:t>
            </w:r>
          </w:p>
        </w:tc>
        <w:tc>
          <w:tcPr>
            <w:tcW w:w="561"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14:paraId="7586B6B7">
            <w:pPr>
              <w:widowControl/>
              <w:adjustRightInd w:val="0"/>
              <w:spacing w:line="240" w:lineRule="auto"/>
              <w:jc w:val="center"/>
              <w:rPr>
                <w:rFonts w:cs="Times New Roman"/>
                <w:b/>
                <w:bCs/>
                <w:color w:val="000000"/>
                <w:kern w:val="0"/>
                <w:szCs w:val="24"/>
              </w:rPr>
            </w:pPr>
            <w:r>
              <w:rPr>
                <w:rFonts w:cs="Times New Roman"/>
                <w:b/>
                <w:bCs/>
                <w:color w:val="000000"/>
                <w:kern w:val="0"/>
                <w:szCs w:val="24"/>
              </w:rPr>
              <w:t>可供水量</w:t>
            </w:r>
          </w:p>
        </w:tc>
        <w:tc>
          <w:tcPr>
            <w:tcW w:w="2921" w:type="pct"/>
            <w:gridSpan w:val="7"/>
            <w:tcBorders>
              <w:top w:val="single" w:color="auto" w:sz="8" w:space="0"/>
              <w:left w:val="nil"/>
              <w:bottom w:val="single" w:color="auto" w:sz="8" w:space="0"/>
              <w:right w:val="single" w:color="000000" w:sz="8" w:space="0"/>
            </w:tcBorders>
            <w:shd w:val="clear" w:color="auto" w:fill="auto"/>
            <w:noWrap/>
            <w:vAlign w:val="center"/>
          </w:tcPr>
          <w:p w14:paraId="4C1C6FA2">
            <w:pPr>
              <w:widowControl/>
              <w:adjustRightInd w:val="0"/>
              <w:spacing w:line="240" w:lineRule="auto"/>
              <w:jc w:val="center"/>
              <w:rPr>
                <w:rFonts w:cs="Times New Roman"/>
                <w:b/>
                <w:bCs/>
                <w:color w:val="000000"/>
                <w:kern w:val="0"/>
                <w:szCs w:val="24"/>
              </w:rPr>
            </w:pPr>
            <w:r>
              <w:rPr>
                <w:rFonts w:cs="Times New Roman"/>
                <w:b/>
                <w:bCs/>
                <w:color w:val="000000"/>
                <w:kern w:val="0"/>
                <w:szCs w:val="24"/>
              </w:rPr>
              <w:t>配置水量</w:t>
            </w:r>
          </w:p>
        </w:tc>
        <w:tc>
          <w:tcPr>
            <w:tcW w:w="608" w:type="pct"/>
            <w:gridSpan w:val="2"/>
            <w:tcBorders>
              <w:top w:val="single" w:color="auto" w:sz="8" w:space="0"/>
              <w:left w:val="nil"/>
              <w:bottom w:val="single" w:color="auto" w:sz="8" w:space="0"/>
              <w:right w:val="single" w:color="000000" w:sz="8" w:space="0"/>
            </w:tcBorders>
            <w:shd w:val="clear" w:color="auto" w:fill="auto"/>
            <w:noWrap/>
            <w:vAlign w:val="center"/>
          </w:tcPr>
          <w:p w14:paraId="79F37C14">
            <w:pPr>
              <w:widowControl/>
              <w:adjustRightInd w:val="0"/>
              <w:spacing w:line="240" w:lineRule="auto"/>
              <w:jc w:val="center"/>
              <w:rPr>
                <w:rFonts w:cs="Times New Roman"/>
                <w:b/>
                <w:bCs/>
                <w:color w:val="000000"/>
                <w:kern w:val="0"/>
                <w:szCs w:val="24"/>
              </w:rPr>
            </w:pPr>
            <w:r>
              <w:rPr>
                <w:rFonts w:cs="Times New Roman"/>
                <w:b/>
                <w:bCs/>
                <w:color w:val="000000"/>
                <w:kern w:val="0"/>
                <w:szCs w:val="24"/>
              </w:rPr>
              <w:t>平衡分析</w:t>
            </w:r>
          </w:p>
        </w:tc>
      </w:tr>
      <w:tr w14:paraId="51817D8E">
        <w:tblPrEx>
          <w:tblCellMar>
            <w:top w:w="0" w:type="dxa"/>
            <w:left w:w="108" w:type="dxa"/>
            <w:bottom w:w="0" w:type="dxa"/>
            <w:right w:w="108" w:type="dxa"/>
          </w:tblCellMar>
        </w:tblPrEx>
        <w:trPr>
          <w:trHeight w:val="300" w:hRule="atLeast"/>
        </w:trPr>
        <w:tc>
          <w:tcPr>
            <w:tcW w:w="402" w:type="pct"/>
            <w:vMerge w:val="continue"/>
            <w:tcBorders>
              <w:top w:val="single" w:color="auto" w:sz="8" w:space="0"/>
              <w:left w:val="single" w:color="auto" w:sz="8" w:space="0"/>
              <w:bottom w:val="single" w:color="000000" w:sz="8" w:space="0"/>
              <w:right w:val="single" w:color="auto" w:sz="8" w:space="0"/>
            </w:tcBorders>
            <w:vAlign w:val="center"/>
          </w:tcPr>
          <w:p w14:paraId="574163C0">
            <w:pPr>
              <w:widowControl/>
              <w:adjustRightInd w:val="0"/>
              <w:spacing w:line="240" w:lineRule="auto"/>
              <w:jc w:val="center"/>
              <w:rPr>
                <w:rFonts w:cs="Times New Roman"/>
                <w:b/>
                <w:bCs/>
                <w:color w:val="000000"/>
                <w:kern w:val="0"/>
                <w:szCs w:val="24"/>
              </w:rPr>
            </w:pPr>
          </w:p>
        </w:tc>
        <w:tc>
          <w:tcPr>
            <w:tcW w:w="509" w:type="pct"/>
            <w:vMerge w:val="continue"/>
            <w:tcBorders>
              <w:top w:val="single" w:color="auto" w:sz="8" w:space="0"/>
              <w:left w:val="single" w:color="auto" w:sz="8" w:space="0"/>
              <w:bottom w:val="single" w:color="000000" w:sz="8" w:space="0"/>
              <w:right w:val="single" w:color="auto" w:sz="8" w:space="0"/>
            </w:tcBorders>
            <w:vAlign w:val="center"/>
          </w:tcPr>
          <w:p w14:paraId="029C9C83">
            <w:pPr>
              <w:widowControl/>
              <w:adjustRightInd w:val="0"/>
              <w:spacing w:line="240" w:lineRule="auto"/>
              <w:jc w:val="center"/>
              <w:rPr>
                <w:rFonts w:cs="Times New Roman"/>
                <w:b/>
                <w:bCs/>
                <w:color w:val="000000"/>
                <w:kern w:val="0"/>
                <w:szCs w:val="24"/>
              </w:rPr>
            </w:pPr>
          </w:p>
        </w:tc>
        <w:tc>
          <w:tcPr>
            <w:tcW w:w="561" w:type="pct"/>
            <w:vMerge w:val="continue"/>
            <w:tcBorders>
              <w:top w:val="single" w:color="auto" w:sz="8" w:space="0"/>
              <w:left w:val="single" w:color="auto" w:sz="8" w:space="0"/>
              <w:bottom w:val="single" w:color="000000" w:sz="8" w:space="0"/>
              <w:right w:val="single" w:color="auto" w:sz="8" w:space="0"/>
            </w:tcBorders>
            <w:vAlign w:val="center"/>
          </w:tcPr>
          <w:p w14:paraId="4D2D064F">
            <w:pPr>
              <w:widowControl/>
              <w:adjustRightInd w:val="0"/>
              <w:spacing w:line="240" w:lineRule="auto"/>
              <w:jc w:val="center"/>
              <w:rPr>
                <w:rFonts w:cs="Times New Roman"/>
                <w:b/>
                <w:bCs/>
                <w:color w:val="000000"/>
                <w:kern w:val="0"/>
                <w:szCs w:val="24"/>
              </w:rPr>
            </w:pPr>
          </w:p>
        </w:tc>
        <w:tc>
          <w:tcPr>
            <w:tcW w:w="509" w:type="pct"/>
            <w:vMerge w:val="restart"/>
            <w:tcBorders>
              <w:top w:val="nil"/>
              <w:left w:val="single" w:color="auto" w:sz="8" w:space="0"/>
              <w:bottom w:val="single" w:color="000000" w:sz="8" w:space="0"/>
              <w:right w:val="single" w:color="auto" w:sz="8" w:space="0"/>
            </w:tcBorders>
            <w:shd w:val="clear" w:color="auto" w:fill="auto"/>
            <w:noWrap/>
            <w:vAlign w:val="center"/>
          </w:tcPr>
          <w:p w14:paraId="5357F1CC">
            <w:pPr>
              <w:widowControl/>
              <w:adjustRightInd w:val="0"/>
              <w:spacing w:line="240" w:lineRule="auto"/>
              <w:jc w:val="center"/>
              <w:rPr>
                <w:rFonts w:cs="Times New Roman"/>
                <w:b/>
                <w:bCs/>
                <w:color w:val="000000"/>
                <w:kern w:val="0"/>
                <w:szCs w:val="24"/>
              </w:rPr>
            </w:pPr>
            <w:r>
              <w:rPr>
                <w:rFonts w:cs="Times New Roman"/>
                <w:b/>
                <w:bCs/>
                <w:color w:val="000000"/>
                <w:kern w:val="0"/>
                <w:szCs w:val="24"/>
              </w:rPr>
              <w:t>生活</w:t>
            </w:r>
          </w:p>
        </w:tc>
        <w:tc>
          <w:tcPr>
            <w:tcW w:w="508" w:type="pct"/>
            <w:vMerge w:val="restart"/>
            <w:tcBorders>
              <w:top w:val="nil"/>
              <w:left w:val="single" w:color="auto" w:sz="8" w:space="0"/>
              <w:bottom w:val="single" w:color="000000" w:sz="8" w:space="0"/>
              <w:right w:val="single" w:color="auto" w:sz="8" w:space="0"/>
            </w:tcBorders>
            <w:shd w:val="clear" w:color="auto" w:fill="auto"/>
            <w:noWrap/>
            <w:vAlign w:val="center"/>
          </w:tcPr>
          <w:p w14:paraId="6FE3FB91">
            <w:pPr>
              <w:widowControl/>
              <w:adjustRightInd w:val="0"/>
              <w:spacing w:line="240" w:lineRule="auto"/>
              <w:jc w:val="center"/>
              <w:rPr>
                <w:rFonts w:cs="Times New Roman"/>
                <w:b/>
                <w:bCs/>
                <w:color w:val="000000"/>
                <w:kern w:val="0"/>
                <w:szCs w:val="24"/>
              </w:rPr>
            </w:pPr>
            <w:r>
              <w:rPr>
                <w:rFonts w:cs="Times New Roman"/>
                <w:b/>
                <w:bCs/>
                <w:color w:val="000000"/>
                <w:kern w:val="0"/>
                <w:szCs w:val="24"/>
              </w:rPr>
              <w:t>第一产业</w:t>
            </w:r>
          </w:p>
        </w:tc>
        <w:tc>
          <w:tcPr>
            <w:tcW w:w="814" w:type="pct"/>
            <w:gridSpan w:val="2"/>
            <w:tcBorders>
              <w:top w:val="single" w:color="auto" w:sz="8" w:space="0"/>
              <w:left w:val="nil"/>
              <w:bottom w:val="single" w:color="auto" w:sz="8" w:space="0"/>
              <w:right w:val="single" w:color="000000" w:sz="8" w:space="0"/>
            </w:tcBorders>
            <w:shd w:val="clear" w:color="auto" w:fill="auto"/>
            <w:noWrap/>
            <w:vAlign w:val="center"/>
          </w:tcPr>
          <w:p w14:paraId="1836EF6D">
            <w:pPr>
              <w:widowControl/>
              <w:adjustRightInd w:val="0"/>
              <w:spacing w:line="240" w:lineRule="auto"/>
              <w:jc w:val="center"/>
              <w:rPr>
                <w:rFonts w:cs="Times New Roman"/>
                <w:b/>
                <w:bCs/>
                <w:color w:val="000000"/>
                <w:kern w:val="0"/>
                <w:szCs w:val="24"/>
              </w:rPr>
            </w:pPr>
            <w:r>
              <w:rPr>
                <w:rFonts w:cs="Times New Roman"/>
                <w:b/>
                <w:bCs/>
                <w:color w:val="000000"/>
                <w:kern w:val="0"/>
                <w:szCs w:val="24"/>
              </w:rPr>
              <w:t>第二产业</w:t>
            </w:r>
          </w:p>
        </w:tc>
        <w:tc>
          <w:tcPr>
            <w:tcW w:w="416" w:type="pct"/>
            <w:tcBorders>
              <w:top w:val="nil"/>
              <w:left w:val="nil"/>
              <w:bottom w:val="nil"/>
              <w:right w:val="single" w:color="auto" w:sz="8" w:space="0"/>
            </w:tcBorders>
            <w:shd w:val="clear" w:color="auto" w:fill="auto"/>
            <w:noWrap/>
            <w:vAlign w:val="center"/>
          </w:tcPr>
          <w:p w14:paraId="0E8BE4EB">
            <w:pPr>
              <w:widowControl/>
              <w:adjustRightInd w:val="0"/>
              <w:spacing w:line="240" w:lineRule="auto"/>
              <w:jc w:val="center"/>
              <w:rPr>
                <w:rFonts w:cs="Times New Roman"/>
                <w:b/>
                <w:bCs/>
                <w:color w:val="000000"/>
                <w:kern w:val="0"/>
                <w:szCs w:val="24"/>
              </w:rPr>
            </w:pPr>
            <w:r>
              <w:rPr>
                <w:rFonts w:cs="Times New Roman"/>
                <w:b/>
                <w:bCs/>
                <w:color w:val="000000"/>
                <w:kern w:val="0"/>
                <w:szCs w:val="24"/>
              </w:rPr>
              <w:t>第三</w:t>
            </w:r>
          </w:p>
        </w:tc>
        <w:tc>
          <w:tcPr>
            <w:tcW w:w="314" w:type="pct"/>
            <w:vMerge w:val="restart"/>
            <w:tcBorders>
              <w:top w:val="nil"/>
              <w:left w:val="single" w:color="auto" w:sz="8" w:space="0"/>
              <w:bottom w:val="single" w:color="000000" w:sz="8" w:space="0"/>
              <w:right w:val="single" w:color="auto" w:sz="8" w:space="0"/>
            </w:tcBorders>
            <w:shd w:val="clear" w:color="auto" w:fill="auto"/>
            <w:noWrap/>
            <w:vAlign w:val="center"/>
          </w:tcPr>
          <w:p w14:paraId="27D9C751">
            <w:pPr>
              <w:widowControl/>
              <w:adjustRightInd w:val="0"/>
              <w:spacing w:line="240" w:lineRule="auto"/>
              <w:jc w:val="center"/>
              <w:rPr>
                <w:rFonts w:cs="Times New Roman"/>
                <w:b/>
                <w:bCs/>
                <w:color w:val="000000"/>
                <w:kern w:val="0"/>
                <w:szCs w:val="24"/>
              </w:rPr>
            </w:pPr>
            <w:r>
              <w:rPr>
                <w:rFonts w:cs="Times New Roman"/>
                <w:b/>
                <w:bCs/>
                <w:color w:val="000000"/>
                <w:kern w:val="0"/>
                <w:szCs w:val="24"/>
              </w:rPr>
              <w:t>生态</w:t>
            </w:r>
          </w:p>
        </w:tc>
        <w:tc>
          <w:tcPr>
            <w:tcW w:w="361" w:type="pct"/>
            <w:vMerge w:val="restart"/>
            <w:tcBorders>
              <w:top w:val="nil"/>
              <w:left w:val="single" w:color="auto" w:sz="8" w:space="0"/>
              <w:bottom w:val="single" w:color="000000" w:sz="8" w:space="0"/>
              <w:right w:val="single" w:color="auto" w:sz="8" w:space="0"/>
            </w:tcBorders>
            <w:shd w:val="clear" w:color="auto" w:fill="auto"/>
            <w:noWrap/>
            <w:vAlign w:val="center"/>
          </w:tcPr>
          <w:p w14:paraId="68C02DE3">
            <w:pPr>
              <w:widowControl/>
              <w:adjustRightInd w:val="0"/>
              <w:spacing w:line="240" w:lineRule="auto"/>
              <w:jc w:val="center"/>
              <w:rPr>
                <w:rFonts w:cs="Times New Roman"/>
                <w:b/>
                <w:bCs/>
                <w:color w:val="000000"/>
                <w:kern w:val="0"/>
                <w:szCs w:val="24"/>
              </w:rPr>
            </w:pPr>
            <w:r>
              <w:rPr>
                <w:rFonts w:cs="Times New Roman"/>
                <w:b/>
                <w:bCs/>
                <w:color w:val="000000"/>
                <w:kern w:val="0"/>
                <w:szCs w:val="24"/>
              </w:rPr>
              <w:t>小计</w:t>
            </w:r>
          </w:p>
        </w:tc>
        <w:tc>
          <w:tcPr>
            <w:tcW w:w="250" w:type="pct"/>
            <w:vMerge w:val="restart"/>
            <w:tcBorders>
              <w:top w:val="nil"/>
              <w:left w:val="single" w:color="auto" w:sz="8" w:space="0"/>
              <w:bottom w:val="single" w:color="000000" w:sz="8" w:space="0"/>
              <w:right w:val="single" w:color="auto" w:sz="8" w:space="0"/>
            </w:tcBorders>
            <w:shd w:val="clear" w:color="auto" w:fill="auto"/>
            <w:noWrap/>
            <w:vAlign w:val="center"/>
          </w:tcPr>
          <w:p w14:paraId="2FAD57E6">
            <w:pPr>
              <w:widowControl/>
              <w:adjustRightInd w:val="0"/>
              <w:spacing w:line="240" w:lineRule="auto"/>
              <w:jc w:val="center"/>
              <w:rPr>
                <w:rFonts w:cs="Times New Roman"/>
                <w:b/>
                <w:bCs/>
                <w:color w:val="000000"/>
                <w:kern w:val="0"/>
                <w:szCs w:val="24"/>
              </w:rPr>
            </w:pPr>
            <w:r>
              <w:rPr>
                <w:rFonts w:cs="Times New Roman"/>
                <w:b/>
                <w:bCs/>
                <w:color w:val="000000"/>
                <w:kern w:val="0"/>
                <w:szCs w:val="24"/>
              </w:rPr>
              <w:t>余水</w:t>
            </w:r>
          </w:p>
        </w:tc>
        <w:tc>
          <w:tcPr>
            <w:tcW w:w="357" w:type="pct"/>
            <w:vMerge w:val="restart"/>
            <w:tcBorders>
              <w:top w:val="nil"/>
              <w:left w:val="single" w:color="auto" w:sz="8" w:space="0"/>
              <w:bottom w:val="single" w:color="000000" w:sz="8" w:space="0"/>
              <w:right w:val="single" w:color="auto" w:sz="8" w:space="0"/>
            </w:tcBorders>
            <w:shd w:val="clear" w:color="auto" w:fill="auto"/>
            <w:noWrap/>
            <w:vAlign w:val="center"/>
          </w:tcPr>
          <w:p w14:paraId="2811E4C1">
            <w:pPr>
              <w:widowControl/>
              <w:adjustRightInd w:val="0"/>
              <w:spacing w:line="240" w:lineRule="auto"/>
              <w:jc w:val="center"/>
              <w:rPr>
                <w:rFonts w:cs="Times New Roman"/>
                <w:b/>
                <w:bCs/>
                <w:color w:val="000000"/>
                <w:kern w:val="0"/>
                <w:szCs w:val="24"/>
              </w:rPr>
            </w:pPr>
            <w:r>
              <w:rPr>
                <w:rFonts w:cs="Times New Roman"/>
                <w:b/>
                <w:bCs/>
                <w:color w:val="000000"/>
                <w:kern w:val="0"/>
                <w:szCs w:val="24"/>
              </w:rPr>
              <w:t>缺水</w:t>
            </w:r>
          </w:p>
        </w:tc>
      </w:tr>
      <w:tr w14:paraId="45A43039">
        <w:tblPrEx>
          <w:tblCellMar>
            <w:top w:w="0" w:type="dxa"/>
            <w:left w:w="108" w:type="dxa"/>
            <w:bottom w:w="0" w:type="dxa"/>
            <w:right w:w="108" w:type="dxa"/>
          </w:tblCellMar>
        </w:tblPrEx>
        <w:trPr>
          <w:trHeight w:val="300" w:hRule="atLeast"/>
        </w:trPr>
        <w:tc>
          <w:tcPr>
            <w:tcW w:w="402" w:type="pct"/>
            <w:vMerge w:val="continue"/>
            <w:tcBorders>
              <w:top w:val="single" w:color="auto" w:sz="8" w:space="0"/>
              <w:left w:val="single" w:color="auto" w:sz="8" w:space="0"/>
              <w:bottom w:val="single" w:color="000000" w:sz="8" w:space="0"/>
              <w:right w:val="single" w:color="auto" w:sz="8" w:space="0"/>
            </w:tcBorders>
            <w:vAlign w:val="center"/>
          </w:tcPr>
          <w:p w14:paraId="6FBA8853">
            <w:pPr>
              <w:widowControl/>
              <w:adjustRightInd w:val="0"/>
              <w:spacing w:line="240" w:lineRule="auto"/>
              <w:jc w:val="center"/>
              <w:rPr>
                <w:rFonts w:cs="Times New Roman"/>
                <w:color w:val="000000"/>
                <w:kern w:val="0"/>
                <w:szCs w:val="24"/>
              </w:rPr>
            </w:pPr>
          </w:p>
        </w:tc>
        <w:tc>
          <w:tcPr>
            <w:tcW w:w="509" w:type="pct"/>
            <w:vMerge w:val="continue"/>
            <w:tcBorders>
              <w:top w:val="single" w:color="auto" w:sz="8" w:space="0"/>
              <w:left w:val="single" w:color="auto" w:sz="8" w:space="0"/>
              <w:bottom w:val="single" w:color="000000" w:sz="8" w:space="0"/>
              <w:right w:val="single" w:color="auto" w:sz="8" w:space="0"/>
            </w:tcBorders>
            <w:vAlign w:val="center"/>
          </w:tcPr>
          <w:p w14:paraId="620CCCE4">
            <w:pPr>
              <w:widowControl/>
              <w:adjustRightInd w:val="0"/>
              <w:spacing w:line="240" w:lineRule="auto"/>
              <w:jc w:val="center"/>
              <w:rPr>
                <w:rFonts w:cs="Times New Roman"/>
                <w:color w:val="000000"/>
                <w:kern w:val="0"/>
                <w:szCs w:val="24"/>
              </w:rPr>
            </w:pPr>
          </w:p>
        </w:tc>
        <w:tc>
          <w:tcPr>
            <w:tcW w:w="561" w:type="pct"/>
            <w:vMerge w:val="continue"/>
            <w:tcBorders>
              <w:top w:val="single" w:color="auto" w:sz="8" w:space="0"/>
              <w:left w:val="single" w:color="auto" w:sz="8" w:space="0"/>
              <w:bottom w:val="single" w:color="000000" w:sz="8" w:space="0"/>
              <w:right w:val="single" w:color="auto" w:sz="8" w:space="0"/>
            </w:tcBorders>
            <w:vAlign w:val="center"/>
          </w:tcPr>
          <w:p w14:paraId="201D20AB">
            <w:pPr>
              <w:widowControl/>
              <w:adjustRightInd w:val="0"/>
              <w:spacing w:line="240" w:lineRule="auto"/>
              <w:jc w:val="center"/>
              <w:rPr>
                <w:rFonts w:cs="Times New Roman"/>
                <w:color w:val="000000"/>
                <w:kern w:val="0"/>
                <w:szCs w:val="24"/>
              </w:rPr>
            </w:pPr>
          </w:p>
        </w:tc>
        <w:tc>
          <w:tcPr>
            <w:tcW w:w="509" w:type="pct"/>
            <w:vMerge w:val="continue"/>
            <w:tcBorders>
              <w:top w:val="nil"/>
              <w:left w:val="single" w:color="auto" w:sz="8" w:space="0"/>
              <w:bottom w:val="single" w:color="000000" w:sz="8" w:space="0"/>
              <w:right w:val="single" w:color="auto" w:sz="8" w:space="0"/>
            </w:tcBorders>
            <w:vAlign w:val="center"/>
          </w:tcPr>
          <w:p w14:paraId="187B11CC">
            <w:pPr>
              <w:widowControl/>
              <w:adjustRightInd w:val="0"/>
              <w:spacing w:line="240" w:lineRule="auto"/>
              <w:jc w:val="center"/>
              <w:rPr>
                <w:rFonts w:cs="Times New Roman"/>
                <w:color w:val="000000"/>
                <w:kern w:val="0"/>
                <w:szCs w:val="24"/>
              </w:rPr>
            </w:pPr>
          </w:p>
        </w:tc>
        <w:tc>
          <w:tcPr>
            <w:tcW w:w="508" w:type="pct"/>
            <w:vMerge w:val="continue"/>
            <w:tcBorders>
              <w:top w:val="nil"/>
              <w:left w:val="single" w:color="auto" w:sz="8" w:space="0"/>
              <w:bottom w:val="single" w:color="000000" w:sz="8" w:space="0"/>
              <w:right w:val="single" w:color="auto" w:sz="8" w:space="0"/>
            </w:tcBorders>
            <w:vAlign w:val="center"/>
          </w:tcPr>
          <w:p w14:paraId="44667223">
            <w:pPr>
              <w:widowControl/>
              <w:adjustRightInd w:val="0"/>
              <w:spacing w:line="240" w:lineRule="auto"/>
              <w:jc w:val="center"/>
              <w:rPr>
                <w:rFonts w:cs="Times New Roman"/>
                <w:color w:val="000000"/>
                <w:kern w:val="0"/>
                <w:szCs w:val="24"/>
              </w:rPr>
            </w:pPr>
          </w:p>
        </w:tc>
        <w:tc>
          <w:tcPr>
            <w:tcW w:w="458" w:type="pct"/>
            <w:tcBorders>
              <w:top w:val="nil"/>
              <w:left w:val="nil"/>
              <w:bottom w:val="single" w:color="auto" w:sz="8" w:space="0"/>
              <w:right w:val="single" w:color="auto" w:sz="8" w:space="0"/>
            </w:tcBorders>
            <w:shd w:val="clear" w:color="auto" w:fill="auto"/>
            <w:noWrap/>
            <w:vAlign w:val="center"/>
          </w:tcPr>
          <w:p w14:paraId="293576F1">
            <w:pPr>
              <w:widowControl/>
              <w:adjustRightInd w:val="0"/>
              <w:spacing w:line="240" w:lineRule="auto"/>
              <w:jc w:val="center"/>
              <w:rPr>
                <w:rFonts w:cs="Times New Roman"/>
                <w:color w:val="000000"/>
                <w:kern w:val="0"/>
                <w:szCs w:val="24"/>
              </w:rPr>
            </w:pPr>
            <w:r>
              <w:rPr>
                <w:rFonts w:cs="Times New Roman"/>
                <w:color w:val="000000"/>
                <w:kern w:val="0"/>
                <w:szCs w:val="24"/>
              </w:rPr>
              <w:t>工业</w:t>
            </w:r>
          </w:p>
        </w:tc>
        <w:tc>
          <w:tcPr>
            <w:tcW w:w="357" w:type="pct"/>
            <w:tcBorders>
              <w:top w:val="nil"/>
              <w:left w:val="nil"/>
              <w:bottom w:val="single" w:color="auto" w:sz="8" w:space="0"/>
              <w:right w:val="single" w:color="auto" w:sz="8" w:space="0"/>
            </w:tcBorders>
            <w:shd w:val="clear" w:color="auto" w:fill="auto"/>
            <w:noWrap/>
            <w:vAlign w:val="center"/>
          </w:tcPr>
          <w:p w14:paraId="0320C74F">
            <w:pPr>
              <w:widowControl/>
              <w:adjustRightInd w:val="0"/>
              <w:spacing w:line="240" w:lineRule="auto"/>
              <w:jc w:val="center"/>
              <w:rPr>
                <w:rFonts w:cs="Times New Roman"/>
                <w:color w:val="000000"/>
                <w:kern w:val="0"/>
                <w:szCs w:val="24"/>
              </w:rPr>
            </w:pPr>
            <w:r>
              <w:rPr>
                <w:rFonts w:cs="Times New Roman"/>
                <w:color w:val="000000"/>
                <w:kern w:val="0"/>
                <w:szCs w:val="24"/>
              </w:rPr>
              <w:t>建筑业</w:t>
            </w:r>
          </w:p>
        </w:tc>
        <w:tc>
          <w:tcPr>
            <w:tcW w:w="416" w:type="pct"/>
            <w:tcBorders>
              <w:top w:val="nil"/>
              <w:left w:val="nil"/>
              <w:bottom w:val="single" w:color="auto" w:sz="8" w:space="0"/>
              <w:right w:val="single" w:color="auto" w:sz="8" w:space="0"/>
            </w:tcBorders>
            <w:shd w:val="clear" w:color="auto" w:fill="auto"/>
            <w:noWrap/>
            <w:vAlign w:val="center"/>
          </w:tcPr>
          <w:p w14:paraId="1B8AC751">
            <w:pPr>
              <w:widowControl/>
              <w:adjustRightInd w:val="0"/>
              <w:spacing w:line="240" w:lineRule="auto"/>
              <w:jc w:val="center"/>
              <w:rPr>
                <w:rFonts w:cs="Times New Roman"/>
                <w:color w:val="000000"/>
                <w:kern w:val="0"/>
                <w:szCs w:val="24"/>
              </w:rPr>
            </w:pPr>
            <w:r>
              <w:rPr>
                <w:rFonts w:cs="Times New Roman"/>
                <w:color w:val="000000"/>
                <w:kern w:val="0"/>
                <w:szCs w:val="24"/>
              </w:rPr>
              <w:t>产业</w:t>
            </w:r>
          </w:p>
        </w:tc>
        <w:tc>
          <w:tcPr>
            <w:tcW w:w="314" w:type="pct"/>
            <w:vMerge w:val="continue"/>
            <w:tcBorders>
              <w:top w:val="nil"/>
              <w:left w:val="single" w:color="auto" w:sz="8" w:space="0"/>
              <w:bottom w:val="single" w:color="000000" w:sz="8" w:space="0"/>
              <w:right w:val="single" w:color="auto" w:sz="8" w:space="0"/>
            </w:tcBorders>
            <w:vAlign w:val="center"/>
          </w:tcPr>
          <w:p w14:paraId="360D28F3">
            <w:pPr>
              <w:widowControl/>
              <w:adjustRightInd w:val="0"/>
              <w:spacing w:line="240" w:lineRule="auto"/>
              <w:jc w:val="center"/>
              <w:rPr>
                <w:rFonts w:cs="Times New Roman"/>
                <w:color w:val="000000"/>
                <w:kern w:val="0"/>
                <w:szCs w:val="24"/>
              </w:rPr>
            </w:pPr>
          </w:p>
        </w:tc>
        <w:tc>
          <w:tcPr>
            <w:tcW w:w="361" w:type="pct"/>
            <w:vMerge w:val="continue"/>
            <w:tcBorders>
              <w:top w:val="nil"/>
              <w:left w:val="single" w:color="auto" w:sz="8" w:space="0"/>
              <w:bottom w:val="single" w:color="000000" w:sz="8" w:space="0"/>
              <w:right w:val="single" w:color="auto" w:sz="8" w:space="0"/>
            </w:tcBorders>
            <w:vAlign w:val="center"/>
          </w:tcPr>
          <w:p w14:paraId="31E8B770">
            <w:pPr>
              <w:widowControl/>
              <w:adjustRightInd w:val="0"/>
              <w:spacing w:line="240" w:lineRule="auto"/>
              <w:jc w:val="center"/>
              <w:rPr>
                <w:rFonts w:cs="Times New Roman"/>
                <w:color w:val="000000"/>
                <w:kern w:val="0"/>
                <w:szCs w:val="24"/>
              </w:rPr>
            </w:pPr>
          </w:p>
        </w:tc>
        <w:tc>
          <w:tcPr>
            <w:tcW w:w="250" w:type="pct"/>
            <w:vMerge w:val="continue"/>
            <w:tcBorders>
              <w:top w:val="nil"/>
              <w:left w:val="single" w:color="auto" w:sz="8" w:space="0"/>
              <w:bottom w:val="single" w:color="000000" w:sz="8" w:space="0"/>
              <w:right w:val="single" w:color="auto" w:sz="8" w:space="0"/>
            </w:tcBorders>
            <w:vAlign w:val="center"/>
          </w:tcPr>
          <w:p w14:paraId="47D21044">
            <w:pPr>
              <w:widowControl/>
              <w:adjustRightInd w:val="0"/>
              <w:spacing w:line="240" w:lineRule="auto"/>
              <w:jc w:val="center"/>
              <w:rPr>
                <w:rFonts w:cs="Times New Roman"/>
                <w:color w:val="000000"/>
                <w:kern w:val="0"/>
                <w:szCs w:val="24"/>
              </w:rPr>
            </w:pPr>
          </w:p>
        </w:tc>
        <w:tc>
          <w:tcPr>
            <w:tcW w:w="357" w:type="pct"/>
            <w:vMerge w:val="continue"/>
            <w:tcBorders>
              <w:top w:val="nil"/>
              <w:left w:val="single" w:color="auto" w:sz="8" w:space="0"/>
              <w:bottom w:val="single" w:color="000000" w:sz="8" w:space="0"/>
              <w:right w:val="single" w:color="auto" w:sz="8" w:space="0"/>
            </w:tcBorders>
            <w:vAlign w:val="center"/>
          </w:tcPr>
          <w:p w14:paraId="60C6CC9B">
            <w:pPr>
              <w:widowControl/>
              <w:adjustRightInd w:val="0"/>
              <w:spacing w:line="240" w:lineRule="auto"/>
              <w:jc w:val="center"/>
              <w:rPr>
                <w:rFonts w:cs="Times New Roman"/>
                <w:color w:val="000000"/>
                <w:kern w:val="0"/>
                <w:szCs w:val="24"/>
              </w:rPr>
            </w:pPr>
          </w:p>
        </w:tc>
      </w:tr>
      <w:tr w14:paraId="414AA44A">
        <w:tblPrEx>
          <w:tblCellMar>
            <w:top w:w="0" w:type="dxa"/>
            <w:left w:w="108" w:type="dxa"/>
            <w:bottom w:w="0" w:type="dxa"/>
            <w:right w:w="108" w:type="dxa"/>
          </w:tblCellMar>
        </w:tblPrEx>
        <w:trPr>
          <w:trHeight w:val="300" w:hRule="atLeast"/>
        </w:trPr>
        <w:tc>
          <w:tcPr>
            <w:tcW w:w="402" w:type="pct"/>
            <w:vMerge w:val="restart"/>
            <w:tcBorders>
              <w:top w:val="nil"/>
              <w:left w:val="single" w:color="auto" w:sz="8" w:space="0"/>
              <w:bottom w:val="single" w:color="000000" w:sz="8" w:space="0"/>
              <w:right w:val="single" w:color="auto" w:sz="8" w:space="0"/>
            </w:tcBorders>
            <w:shd w:val="clear" w:color="auto" w:fill="auto"/>
            <w:noWrap/>
            <w:vAlign w:val="center"/>
          </w:tcPr>
          <w:p w14:paraId="46DAD359">
            <w:pPr>
              <w:widowControl/>
              <w:adjustRightInd w:val="0"/>
              <w:spacing w:line="240" w:lineRule="auto"/>
              <w:jc w:val="center"/>
              <w:rPr>
                <w:rFonts w:cs="Times New Roman"/>
                <w:color w:val="000000"/>
                <w:kern w:val="0"/>
                <w:szCs w:val="24"/>
              </w:rPr>
            </w:pPr>
            <w:r>
              <w:rPr>
                <w:rFonts w:cs="Times New Roman"/>
                <w:color w:val="000000"/>
                <w:kern w:val="0"/>
                <w:szCs w:val="24"/>
              </w:rPr>
              <w:t>2035年</w:t>
            </w:r>
          </w:p>
        </w:tc>
        <w:tc>
          <w:tcPr>
            <w:tcW w:w="509" w:type="pct"/>
            <w:tcBorders>
              <w:top w:val="nil"/>
              <w:left w:val="nil"/>
              <w:bottom w:val="single" w:color="auto" w:sz="8" w:space="0"/>
              <w:right w:val="single" w:color="auto" w:sz="8" w:space="0"/>
            </w:tcBorders>
            <w:shd w:val="clear" w:color="auto" w:fill="auto"/>
            <w:noWrap/>
            <w:vAlign w:val="center"/>
          </w:tcPr>
          <w:p w14:paraId="53EAD299">
            <w:pPr>
              <w:widowControl/>
              <w:adjustRightInd w:val="0"/>
              <w:spacing w:line="240" w:lineRule="auto"/>
              <w:jc w:val="center"/>
              <w:rPr>
                <w:rFonts w:cs="Times New Roman"/>
                <w:color w:val="000000"/>
                <w:kern w:val="0"/>
                <w:szCs w:val="24"/>
              </w:rPr>
            </w:pPr>
            <w:r>
              <w:rPr>
                <w:rFonts w:cs="Times New Roman"/>
                <w:color w:val="000000"/>
                <w:kern w:val="0"/>
                <w:szCs w:val="24"/>
              </w:rPr>
              <w:t>地下水</w:t>
            </w:r>
          </w:p>
        </w:tc>
        <w:tc>
          <w:tcPr>
            <w:tcW w:w="561" w:type="pct"/>
            <w:tcBorders>
              <w:top w:val="nil"/>
              <w:left w:val="nil"/>
              <w:bottom w:val="single" w:color="auto" w:sz="8" w:space="0"/>
              <w:right w:val="single" w:color="auto" w:sz="8" w:space="0"/>
            </w:tcBorders>
            <w:shd w:val="clear" w:color="auto" w:fill="auto"/>
            <w:noWrap/>
          </w:tcPr>
          <w:p w14:paraId="729E2C8B">
            <w:pPr>
              <w:widowControl/>
              <w:adjustRightInd w:val="0"/>
              <w:spacing w:line="240" w:lineRule="auto"/>
              <w:jc w:val="center"/>
              <w:rPr>
                <w:rFonts w:cs="Times New Roman"/>
                <w:color w:val="000000"/>
                <w:kern w:val="0"/>
                <w:szCs w:val="24"/>
              </w:rPr>
            </w:pPr>
            <w:r>
              <w:t>2085</w:t>
            </w:r>
          </w:p>
        </w:tc>
        <w:tc>
          <w:tcPr>
            <w:tcW w:w="509" w:type="pct"/>
            <w:tcBorders>
              <w:top w:val="nil"/>
              <w:left w:val="nil"/>
              <w:bottom w:val="single" w:color="auto" w:sz="8" w:space="0"/>
              <w:right w:val="single" w:color="auto" w:sz="8" w:space="0"/>
            </w:tcBorders>
            <w:shd w:val="clear" w:color="auto" w:fill="auto"/>
            <w:noWrap/>
          </w:tcPr>
          <w:p w14:paraId="391FBF17">
            <w:pPr>
              <w:widowControl/>
              <w:adjustRightInd w:val="0"/>
              <w:spacing w:line="240" w:lineRule="auto"/>
              <w:jc w:val="center"/>
              <w:rPr>
                <w:rFonts w:cs="Times New Roman"/>
                <w:color w:val="000000"/>
                <w:kern w:val="0"/>
                <w:szCs w:val="24"/>
              </w:rPr>
            </w:pPr>
            <w:r>
              <w:t>771.73</w:t>
            </w:r>
          </w:p>
        </w:tc>
        <w:tc>
          <w:tcPr>
            <w:tcW w:w="508" w:type="pct"/>
            <w:tcBorders>
              <w:top w:val="nil"/>
              <w:left w:val="nil"/>
              <w:bottom w:val="single" w:color="auto" w:sz="8" w:space="0"/>
              <w:right w:val="single" w:color="auto" w:sz="8" w:space="0"/>
            </w:tcBorders>
            <w:shd w:val="clear" w:color="auto" w:fill="auto"/>
            <w:noWrap/>
          </w:tcPr>
          <w:p w14:paraId="11F2B318">
            <w:pPr>
              <w:widowControl/>
              <w:adjustRightInd w:val="0"/>
              <w:spacing w:line="240" w:lineRule="auto"/>
              <w:jc w:val="center"/>
              <w:rPr>
                <w:rFonts w:cs="Times New Roman"/>
                <w:color w:val="000000"/>
                <w:kern w:val="0"/>
                <w:szCs w:val="24"/>
              </w:rPr>
            </w:pPr>
            <w:r>
              <w:t>2251.87</w:t>
            </w:r>
          </w:p>
        </w:tc>
        <w:tc>
          <w:tcPr>
            <w:tcW w:w="458" w:type="pct"/>
            <w:tcBorders>
              <w:top w:val="nil"/>
              <w:left w:val="nil"/>
              <w:bottom w:val="single" w:color="auto" w:sz="8" w:space="0"/>
              <w:right w:val="single" w:color="auto" w:sz="8" w:space="0"/>
            </w:tcBorders>
            <w:shd w:val="clear" w:color="auto" w:fill="auto"/>
            <w:noWrap/>
          </w:tcPr>
          <w:p w14:paraId="26CD5C1D">
            <w:pPr>
              <w:widowControl/>
              <w:adjustRightInd w:val="0"/>
              <w:spacing w:line="240" w:lineRule="auto"/>
              <w:jc w:val="center"/>
              <w:rPr>
                <w:rFonts w:cs="Times New Roman"/>
                <w:color w:val="000000"/>
                <w:kern w:val="0"/>
                <w:szCs w:val="24"/>
              </w:rPr>
            </w:pPr>
            <w:r>
              <w:t>0</w:t>
            </w:r>
          </w:p>
        </w:tc>
        <w:tc>
          <w:tcPr>
            <w:tcW w:w="357" w:type="pct"/>
            <w:tcBorders>
              <w:top w:val="nil"/>
              <w:left w:val="nil"/>
              <w:bottom w:val="single" w:color="auto" w:sz="8" w:space="0"/>
              <w:right w:val="single" w:color="auto" w:sz="8" w:space="0"/>
            </w:tcBorders>
            <w:shd w:val="clear" w:color="auto" w:fill="auto"/>
            <w:noWrap/>
          </w:tcPr>
          <w:p w14:paraId="2F538773">
            <w:pPr>
              <w:widowControl/>
              <w:adjustRightInd w:val="0"/>
              <w:spacing w:line="240" w:lineRule="auto"/>
              <w:jc w:val="center"/>
              <w:rPr>
                <w:rFonts w:cs="Times New Roman"/>
                <w:color w:val="000000"/>
                <w:kern w:val="0"/>
                <w:szCs w:val="24"/>
              </w:rPr>
            </w:pPr>
            <w:r>
              <w:t>3.75</w:t>
            </w:r>
          </w:p>
        </w:tc>
        <w:tc>
          <w:tcPr>
            <w:tcW w:w="416" w:type="pct"/>
            <w:tcBorders>
              <w:top w:val="nil"/>
              <w:left w:val="nil"/>
              <w:bottom w:val="single" w:color="auto" w:sz="8" w:space="0"/>
              <w:right w:val="single" w:color="auto" w:sz="8" w:space="0"/>
            </w:tcBorders>
            <w:shd w:val="clear" w:color="auto" w:fill="auto"/>
            <w:noWrap/>
          </w:tcPr>
          <w:p w14:paraId="3280021F">
            <w:pPr>
              <w:widowControl/>
              <w:adjustRightInd w:val="0"/>
              <w:spacing w:line="240" w:lineRule="auto"/>
              <w:jc w:val="center"/>
              <w:rPr>
                <w:rFonts w:cs="Times New Roman"/>
                <w:color w:val="000000"/>
                <w:kern w:val="0"/>
                <w:szCs w:val="24"/>
              </w:rPr>
            </w:pPr>
            <w:r>
              <w:t>82</w:t>
            </w:r>
          </w:p>
        </w:tc>
        <w:tc>
          <w:tcPr>
            <w:tcW w:w="314" w:type="pct"/>
            <w:tcBorders>
              <w:top w:val="nil"/>
              <w:left w:val="nil"/>
              <w:bottom w:val="single" w:color="auto" w:sz="8" w:space="0"/>
              <w:right w:val="single" w:color="auto" w:sz="8" w:space="0"/>
            </w:tcBorders>
            <w:shd w:val="clear" w:color="auto" w:fill="auto"/>
            <w:noWrap/>
          </w:tcPr>
          <w:p w14:paraId="73DE33B4">
            <w:pPr>
              <w:widowControl/>
              <w:adjustRightInd w:val="0"/>
              <w:spacing w:line="240" w:lineRule="auto"/>
              <w:jc w:val="center"/>
              <w:rPr>
                <w:rFonts w:cs="Times New Roman"/>
                <w:color w:val="000000"/>
                <w:kern w:val="0"/>
                <w:szCs w:val="24"/>
              </w:rPr>
            </w:pPr>
            <w:r>
              <w:t>0</w:t>
            </w:r>
            <w:r>
              <w:rPr>
                <w:rFonts w:hint="eastAsia"/>
              </w:rPr>
              <w:t>.00</w:t>
            </w:r>
          </w:p>
        </w:tc>
        <w:tc>
          <w:tcPr>
            <w:tcW w:w="361" w:type="pct"/>
            <w:tcBorders>
              <w:top w:val="nil"/>
              <w:left w:val="nil"/>
              <w:bottom w:val="single" w:color="auto" w:sz="8" w:space="0"/>
              <w:right w:val="single" w:color="auto" w:sz="8" w:space="0"/>
            </w:tcBorders>
            <w:shd w:val="clear" w:color="auto" w:fill="auto"/>
            <w:noWrap/>
          </w:tcPr>
          <w:p w14:paraId="2E72756E">
            <w:pPr>
              <w:widowControl/>
              <w:adjustRightInd w:val="0"/>
              <w:spacing w:line="240" w:lineRule="auto"/>
              <w:jc w:val="center"/>
              <w:rPr>
                <w:rFonts w:cs="Times New Roman"/>
                <w:color w:val="000000"/>
                <w:kern w:val="0"/>
                <w:szCs w:val="24"/>
              </w:rPr>
            </w:pPr>
            <w:r>
              <w:t>3109.35</w:t>
            </w:r>
          </w:p>
        </w:tc>
        <w:tc>
          <w:tcPr>
            <w:tcW w:w="250" w:type="pct"/>
            <w:tcBorders>
              <w:top w:val="nil"/>
              <w:left w:val="nil"/>
              <w:bottom w:val="single" w:color="auto" w:sz="8" w:space="0"/>
              <w:right w:val="single" w:color="auto" w:sz="8" w:space="0"/>
            </w:tcBorders>
            <w:shd w:val="clear" w:color="auto" w:fill="auto"/>
            <w:noWrap/>
          </w:tcPr>
          <w:p w14:paraId="780FCC4F">
            <w:pPr>
              <w:widowControl/>
              <w:adjustRightInd w:val="0"/>
              <w:spacing w:line="240" w:lineRule="auto"/>
              <w:jc w:val="center"/>
              <w:rPr>
                <w:rFonts w:cs="Times New Roman"/>
                <w:color w:val="000000"/>
                <w:kern w:val="0"/>
                <w:szCs w:val="24"/>
              </w:rPr>
            </w:pPr>
            <w:r>
              <w:rPr>
                <w:rFonts w:hint="eastAsia" w:cs="Times New Roman"/>
                <w:color w:val="000000"/>
                <w:kern w:val="0"/>
                <w:szCs w:val="24"/>
              </w:rPr>
              <w:t>0.00</w:t>
            </w:r>
          </w:p>
        </w:tc>
        <w:tc>
          <w:tcPr>
            <w:tcW w:w="357" w:type="pct"/>
            <w:tcBorders>
              <w:top w:val="nil"/>
              <w:left w:val="nil"/>
              <w:bottom w:val="single" w:color="auto" w:sz="8" w:space="0"/>
              <w:right w:val="single" w:color="auto" w:sz="8" w:space="0"/>
            </w:tcBorders>
            <w:shd w:val="clear" w:color="auto" w:fill="auto"/>
            <w:noWrap/>
          </w:tcPr>
          <w:p w14:paraId="111DDA41">
            <w:pPr>
              <w:widowControl/>
              <w:adjustRightInd w:val="0"/>
              <w:spacing w:line="240" w:lineRule="auto"/>
              <w:jc w:val="center"/>
              <w:rPr>
                <w:rFonts w:cs="Times New Roman"/>
                <w:color w:val="000000"/>
                <w:kern w:val="0"/>
                <w:szCs w:val="24"/>
              </w:rPr>
            </w:pPr>
            <w:r>
              <w:t>1024.35</w:t>
            </w:r>
          </w:p>
        </w:tc>
      </w:tr>
      <w:tr w14:paraId="2A457803">
        <w:tblPrEx>
          <w:tblCellMar>
            <w:top w:w="0" w:type="dxa"/>
            <w:left w:w="108" w:type="dxa"/>
            <w:bottom w:w="0" w:type="dxa"/>
            <w:right w:w="108" w:type="dxa"/>
          </w:tblCellMar>
        </w:tblPrEx>
        <w:trPr>
          <w:trHeight w:val="300" w:hRule="atLeast"/>
        </w:trPr>
        <w:tc>
          <w:tcPr>
            <w:tcW w:w="402" w:type="pct"/>
            <w:vMerge w:val="continue"/>
            <w:tcBorders>
              <w:top w:val="nil"/>
              <w:left w:val="single" w:color="auto" w:sz="8" w:space="0"/>
              <w:bottom w:val="single" w:color="000000" w:sz="8" w:space="0"/>
              <w:right w:val="single" w:color="auto" w:sz="8" w:space="0"/>
            </w:tcBorders>
            <w:vAlign w:val="center"/>
          </w:tcPr>
          <w:p w14:paraId="678D78F5">
            <w:pPr>
              <w:widowControl/>
              <w:adjustRightInd w:val="0"/>
              <w:spacing w:line="240" w:lineRule="auto"/>
              <w:jc w:val="center"/>
              <w:rPr>
                <w:rFonts w:cs="Times New Roman"/>
                <w:color w:val="000000"/>
                <w:kern w:val="0"/>
                <w:szCs w:val="24"/>
              </w:rPr>
            </w:pPr>
          </w:p>
        </w:tc>
        <w:tc>
          <w:tcPr>
            <w:tcW w:w="509" w:type="pct"/>
            <w:tcBorders>
              <w:top w:val="nil"/>
              <w:left w:val="nil"/>
              <w:bottom w:val="single" w:color="auto" w:sz="8" w:space="0"/>
              <w:right w:val="single" w:color="auto" w:sz="8" w:space="0"/>
            </w:tcBorders>
            <w:shd w:val="clear" w:color="auto" w:fill="auto"/>
            <w:noWrap/>
            <w:vAlign w:val="center"/>
          </w:tcPr>
          <w:p w14:paraId="3966332F">
            <w:pPr>
              <w:widowControl/>
              <w:adjustRightInd w:val="0"/>
              <w:spacing w:line="240" w:lineRule="auto"/>
              <w:jc w:val="center"/>
              <w:rPr>
                <w:rFonts w:cs="Times New Roman"/>
                <w:color w:val="000000"/>
                <w:kern w:val="0"/>
                <w:szCs w:val="24"/>
              </w:rPr>
            </w:pPr>
            <w:r>
              <w:rPr>
                <w:rFonts w:cs="Times New Roman"/>
                <w:color w:val="000000"/>
                <w:kern w:val="0"/>
                <w:szCs w:val="24"/>
              </w:rPr>
              <w:t>再生水</w:t>
            </w:r>
          </w:p>
        </w:tc>
        <w:tc>
          <w:tcPr>
            <w:tcW w:w="561" w:type="pct"/>
            <w:tcBorders>
              <w:top w:val="nil"/>
              <w:left w:val="nil"/>
              <w:bottom w:val="single" w:color="auto" w:sz="8" w:space="0"/>
              <w:right w:val="single" w:color="auto" w:sz="8" w:space="0"/>
            </w:tcBorders>
            <w:shd w:val="clear" w:color="auto" w:fill="auto"/>
            <w:noWrap/>
          </w:tcPr>
          <w:p w14:paraId="20C6664C">
            <w:pPr>
              <w:widowControl/>
              <w:adjustRightInd w:val="0"/>
              <w:spacing w:line="240" w:lineRule="auto"/>
              <w:jc w:val="center"/>
              <w:rPr>
                <w:rFonts w:cs="Times New Roman"/>
                <w:color w:val="000000"/>
                <w:kern w:val="0"/>
                <w:szCs w:val="24"/>
              </w:rPr>
            </w:pPr>
            <w:r>
              <w:t>1276</w:t>
            </w:r>
          </w:p>
        </w:tc>
        <w:tc>
          <w:tcPr>
            <w:tcW w:w="509" w:type="pct"/>
            <w:tcBorders>
              <w:top w:val="nil"/>
              <w:left w:val="nil"/>
              <w:bottom w:val="single" w:color="auto" w:sz="8" w:space="0"/>
              <w:right w:val="single" w:color="auto" w:sz="8" w:space="0"/>
            </w:tcBorders>
            <w:shd w:val="clear" w:color="auto" w:fill="auto"/>
            <w:noWrap/>
          </w:tcPr>
          <w:p w14:paraId="764F2B60">
            <w:pPr>
              <w:widowControl/>
              <w:adjustRightInd w:val="0"/>
              <w:spacing w:line="240" w:lineRule="auto"/>
              <w:jc w:val="center"/>
              <w:rPr>
                <w:rFonts w:cs="Times New Roman"/>
                <w:color w:val="000000"/>
                <w:kern w:val="0"/>
                <w:szCs w:val="24"/>
              </w:rPr>
            </w:pPr>
            <w:r>
              <w:t>0</w:t>
            </w:r>
            <w:r>
              <w:rPr>
                <w:rFonts w:hint="eastAsia"/>
              </w:rPr>
              <w:t>.00</w:t>
            </w:r>
          </w:p>
        </w:tc>
        <w:tc>
          <w:tcPr>
            <w:tcW w:w="508" w:type="pct"/>
            <w:tcBorders>
              <w:top w:val="nil"/>
              <w:left w:val="nil"/>
              <w:bottom w:val="single" w:color="auto" w:sz="8" w:space="0"/>
              <w:right w:val="single" w:color="auto" w:sz="8" w:space="0"/>
            </w:tcBorders>
            <w:shd w:val="clear" w:color="auto" w:fill="auto"/>
            <w:noWrap/>
          </w:tcPr>
          <w:p w14:paraId="564003CD">
            <w:pPr>
              <w:widowControl/>
              <w:adjustRightInd w:val="0"/>
              <w:spacing w:line="240" w:lineRule="auto"/>
              <w:jc w:val="center"/>
              <w:rPr>
                <w:rFonts w:cs="Times New Roman"/>
                <w:color w:val="000000"/>
                <w:kern w:val="0"/>
                <w:szCs w:val="24"/>
              </w:rPr>
            </w:pPr>
            <w:r>
              <w:t>0</w:t>
            </w:r>
            <w:r>
              <w:rPr>
                <w:rFonts w:hint="eastAsia"/>
              </w:rPr>
              <w:t>.00</w:t>
            </w:r>
          </w:p>
        </w:tc>
        <w:tc>
          <w:tcPr>
            <w:tcW w:w="458" w:type="pct"/>
            <w:tcBorders>
              <w:top w:val="nil"/>
              <w:left w:val="nil"/>
              <w:bottom w:val="single" w:color="auto" w:sz="8" w:space="0"/>
              <w:right w:val="single" w:color="auto" w:sz="8" w:space="0"/>
            </w:tcBorders>
            <w:shd w:val="clear" w:color="auto" w:fill="auto"/>
            <w:noWrap/>
          </w:tcPr>
          <w:p w14:paraId="70DEA81C">
            <w:pPr>
              <w:widowControl/>
              <w:adjustRightInd w:val="0"/>
              <w:spacing w:line="240" w:lineRule="auto"/>
              <w:jc w:val="center"/>
              <w:rPr>
                <w:rFonts w:cs="Times New Roman"/>
                <w:color w:val="000000"/>
                <w:kern w:val="0"/>
                <w:szCs w:val="24"/>
              </w:rPr>
            </w:pPr>
            <w:r>
              <w:t>1698.59</w:t>
            </w:r>
          </w:p>
        </w:tc>
        <w:tc>
          <w:tcPr>
            <w:tcW w:w="357" w:type="pct"/>
            <w:tcBorders>
              <w:top w:val="nil"/>
              <w:left w:val="nil"/>
              <w:bottom w:val="single" w:color="auto" w:sz="8" w:space="0"/>
              <w:right w:val="single" w:color="auto" w:sz="8" w:space="0"/>
            </w:tcBorders>
            <w:shd w:val="clear" w:color="auto" w:fill="auto"/>
            <w:noWrap/>
          </w:tcPr>
          <w:p w14:paraId="28E435CE">
            <w:pPr>
              <w:widowControl/>
              <w:adjustRightInd w:val="0"/>
              <w:spacing w:line="240" w:lineRule="auto"/>
              <w:jc w:val="center"/>
              <w:rPr>
                <w:rFonts w:cs="Times New Roman"/>
                <w:color w:val="000000"/>
                <w:kern w:val="0"/>
                <w:szCs w:val="24"/>
              </w:rPr>
            </w:pPr>
            <w:r>
              <w:t>0</w:t>
            </w:r>
            <w:r>
              <w:rPr>
                <w:rFonts w:hint="eastAsia"/>
              </w:rPr>
              <w:t>.00</w:t>
            </w:r>
          </w:p>
        </w:tc>
        <w:tc>
          <w:tcPr>
            <w:tcW w:w="416" w:type="pct"/>
            <w:tcBorders>
              <w:top w:val="nil"/>
              <w:left w:val="nil"/>
              <w:bottom w:val="single" w:color="auto" w:sz="8" w:space="0"/>
              <w:right w:val="single" w:color="auto" w:sz="8" w:space="0"/>
            </w:tcBorders>
            <w:shd w:val="clear" w:color="auto" w:fill="auto"/>
            <w:noWrap/>
          </w:tcPr>
          <w:p w14:paraId="55F0EE96">
            <w:pPr>
              <w:widowControl/>
              <w:adjustRightInd w:val="0"/>
              <w:spacing w:line="240" w:lineRule="auto"/>
              <w:jc w:val="center"/>
              <w:rPr>
                <w:rFonts w:cs="Times New Roman"/>
                <w:color w:val="000000"/>
                <w:kern w:val="0"/>
                <w:szCs w:val="24"/>
              </w:rPr>
            </w:pPr>
            <w:r>
              <w:t>0</w:t>
            </w:r>
            <w:r>
              <w:rPr>
                <w:rFonts w:hint="eastAsia"/>
              </w:rPr>
              <w:t>.00</w:t>
            </w:r>
          </w:p>
        </w:tc>
        <w:tc>
          <w:tcPr>
            <w:tcW w:w="314" w:type="pct"/>
            <w:tcBorders>
              <w:top w:val="nil"/>
              <w:left w:val="nil"/>
              <w:bottom w:val="single" w:color="auto" w:sz="8" w:space="0"/>
              <w:right w:val="single" w:color="auto" w:sz="8" w:space="0"/>
            </w:tcBorders>
            <w:shd w:val="clear" w:color="auto" w:fill="auto"/>
            <w:noWrap/>
          </w:tcPr>
          <w:p w14:paraId="16FDC6AA">
            <w:pPr>
              <w:widowControl/>
              <w:adjustRightInd w:val="0"/>
              <w:spacing w:line="240" w:lineRule="auto"/>
              <w:jc w:val="center"/>
              <w:rPr>
                <w:rFonts w:cs="Times New Roman"/>
                <w:color w:val="000000"/>
                <w:kern w:val="0"/>
                <w:szCs w:val="24"/>
              </w:rPr>
            </w:pPr>
            <w:r>
              <w:t>199.2</w:t>
            </w:r>
          </w:p>
        </w:tc>
        <w:tc>
          <w:tcPr>
            <w:tcW w:w="361" w:type="pct"/>
            <w:tcBorders>
              <w:top w:val="nil"/>
              <w:left w:val="nil"/>
              <w:bottom w:val="single" w:color="auto" w:sz="8" w:space="0"/>
              <w:right w:val="single" w:color="auto" w:sz="8" w:space="0"/>
            </w:tcBorders>
            <w:shd w:val="clear" w:color="auto" w:fill="auto"/>
            <w:noWrap/>
          </w:tcPr>
          <w:p w14:paraId="20BB16E4">
            <w:pPr>
              <w:widowControl/>
              <w:adjustRightInd w:val="0"/>
              <w:spacing w:line="240" w:lineRule="auto"/>
              <w:jc w:val="center"/>
              <w:rPr>
                <w:rFonts w:cs="Times New Roman"/>
                <w:color w:val="000000"/>
                <w:kern w:val="0"/>
                <w:szCs w:val="24"/>
              </w:rPr>
            </w:pPr>
            <w:r>
              <w:t>1897.79</w:t>
            </w:r>
          </w:p>
        </w:tc>
        <w:tc>
          <w:tcPr>
            <w:tcW w:w="250" w:type="pct"/>
            <w:tcBorders>
              <w:top w:val="nil"/>
              <w:left w:val="nil"/>
              <w:bottom w:val="single" w:color="auto" w:sz="8" w:space="0"/>
              <w:right w:val="single" w:color="auto" w:sz="8" w:space="0"/>
            </w:tcBorders>
            <w:shd w:val="clear" w:color="auto" w:fill="auto"/>
            <w:noWrap/>
          </w:tcPr>
          <w:p w14:paraId="4469E5F8">
            <w:pPr>
              <w:widowControl/>
              <w:adjustRightInd w:val="0"/>
              <w:spacing w:line="240" w:lineRule="auto"/>
              <w:jc w:val="center"/>
              <w:rPr>
                <w:rFonts w:cs="Times New Roman"/>
                <w:color w:val="000000"/>
                <w:kern w:val="0"/>
                <w:szCs w:val="24"/>
              </w:rPr>
            </w:pPr>
            <w:r>
              <w:rPr>
                <w:rFonts w:hint="eastAsia" w:cs="Times New Roman"/>
                <w:color w:val="000000"/>
                <w:kern w:val="0"/>
                <w:szCs w:val="24"/>
              </w:rPr>
              <w:t>0.00</w:t>
            </w:r>
          </w:p>
        </w:tc>
        <w:tc>
          <w:tcPr>
            <w:tcW w:w="357" w:type="pct"/>
            <w:tcBorders>
              <w:top w:val="nil"/>
              <w:left w:val="nil"/>
              <w:bottom w:val="single" w:color="auto" w:sz="8" w:space="0"/>
              <w:right w:val="single" w:color="auto" w:sz="8" w:space="0"/>
            </w:tcBorders>
            <w:shd w:val="clear" w:color="auto" w:fill="auto"/>
            <w:noWrap/>
          </w:tcPr>
          <w:p w14:paraId="2DA83D54">
            <w:pPr>
              <w:widowControl/>
              <w:adjustRightInd w:val="0"/>
              <w:spacing w:line="240" w:lineRule="auto"/>
              <w:jc w:val="center"/>
              <w:rPr>
                <w:rFonts w:cs="Times New Roman"/>
                <w:color w:val="000000"/>
                <w:kern w:val="0"/>
                <w:szCs w:val="24"/>
              </w:rPr>
            </w:pPr>
            <w:r>
              <w:t>621.79</w:t>
            </w:r>
          </w:p>
        </w:tc>
      </w:tr>
      <w:tr w14:paraId="7D014A25">
        <w:tblPrEx>
          <w:tblCellMar>
            <w:top w:w="0" w:type="dxa"/>
            <w:left w:w="108" w:type="dxa"/>
            <w:bottom w:w="0" w:type="dxa"/>
            <w:right w:w="108" w:type="dxa"/>
          </w:tblCellMar>
        </w:tblPrEx>
        <w:trPr>
          <w:trHeight w:val="300" w:hRule="atLeast"/>
        </w:trPr>
        <w:tc>
          <w:tcPr>
            <w:tcW w:w="402" w:type="pct"/>
            <w:vMerge w:val="continue"/>
            <w:tcBorders>
              <w:top w:val="nil"/>
              <w:left w:val="single" w:color="auto" w:sz="8" w:space="0"/>
              <w:bottom w:val="single" w:color="000000" w:sz="8" w:space="0"/>
              <w:right w:val="single" w:color="auto" w:sz="8" w:space="0"/>
            </w:tcBorders>
            <w:vAlign w:val="center"/>
          </w:tcPr>
          <w:p w14:paraId="4619E348">
            <w:pPr>
              <w:widowControl/>
              <w:adjustRightInd w:val="0"/>
              <w:spacing w:line="240" w:lineRule="auto"/>
              <w:jc w:val="center"/>
              <w:rPr>
                <w:rFonts w:cs="Times New Roman"/>
                <w:color w:val="000000"/>
                <w:kern w:val="0"/>
                <w:szCs w:val="24"/>
              </w:rPr>
            </w:pPr>
          </w:p>
        </w:tc>
        <w:tc>
          <w:tcPr>
            <w:tcW w:w="509" w:type="pct"/>
            <w:tcBorders>
              <w:top w:val="nil"/>
              <w:left w:val="nil"/>
              <w:bottom w:val="single" w:color="auto" w:sz="8" w:space="0"/>
              <w:right w:val="single" w:color="auto" w:sz="8" w:space="0"/>
            </w:tcBorders>
            <w:shd w:val="clear" w:color="auto" w:fill="auto"/>
            <w:noWrap/>
            <w:vAlign w:val="center"/>
          </w:tcPr>
          <w:p w14:paraId="6A3112FA">
            <w:pPr>
              <w:widowControl/>
              <w:adjustRightInd w:val="0"/>
              <w:spacing w:line="240" w:lineRule="auto"/>
              <w:jc w:val="center"/>
              <w:rPr>
                <w:rFonts w:cs="Times New Roman"/>
                <w:color w:val="000000"/>
                <w:kern w:val="0"/>
                <w:szCs w:val="24"/>
              </w:rPr>
            </w:pPr>
            <w:r>
              <w:rPr>
                <w:rFonts w:cs="Times New Roman"/>
                <w:color w:val="000000"/>
                <w:kern w:val="0"/>
                <w:szCs w:val="24"/>
              </w:rPr>
              <w:t>地表水</w:t>
            </w:r>
          </w:p>
        </w:tc>
        <w:tc>
          <w:tcPr>
            <w:tcW w:w="561" w:type="pct"/>
            <w:tcBorders>
              <w:top w:val="nil"/>
              <w:left w:val="nil"/>
              <w:bottom w:val="single" w:color="auto" w:sz="8" w:space="0"/>
              <w:right w:val="single" w:color="auto" w:sz="8" w:space="0"/>
            </w:tcBorders>
            <w:shd w:val="clear" w:color="auto" w:fill="auto"/>
            <w:noWrap/>
          </w:tcPr>
          <w:p w14:paraId="77B1E825">
            <w:pPr>
              <w:widowControl/>
              <w:adjustRightInd w:val="0"/>
              <w:spacing w:line="240" w:lineRule="auto"/>
              <w:jc w:val="center"/>
              <w:rPr>
                <w:rFonts w:cs="Times New Roman"/>
                <w:color w:val="000000"/>
                <w:kern w:val="0"/>
                <w:szCs w:val="24"/>
              </w:rPr>
            </w:pPr>
            <w:r>
              <w:t>4854</w:t>
            </w:r>
          </w:p>
        </w:tc>
        <w:tc>
          <w:tcPr>
            <w:tcW w:w="509" w:type="pct"/>
            <w:tcBorders>
              <w:top w:val="nil"/>
              <w:left w:val="nil"/>
              <w:bottom w:val="single" w:color="auto" w:sz="8" w:space="0"/>
              <w:right w:val="single" w:color="auto" w:sz="8" w:space="0"/>
            </w:tcBorders>
            <w:shd w:val="clear" w:color="auto" w:fill="auto"/>
            <w:noWrap/>
          </w:tcPr>
          <w:p w14:paraId="7F23BFC9">
            <w:pPr>
              <w:widowControl/>
              <w:adjustRightInd w:val="0"/>
              <w:spacing w:line="240" w:lineRule="auto"/>
              <w:jc w:val="center"/>
              <w:rPr>
                <w:rFonts w:cs="Times New Roman"/>
                <w:color w:val="000000"/>
                <w:kern w:val="0"/>
                <w:szCs w:val="24"/>
              </w:rPr>
            </w:pPr>
            <w:r>
              <w:t>0</w:t>
            </w:r>
            <w:r>
              <w:rPr>
                <w:rFonts w:hint="eastAsia"/>
              </w:rPr>
              <w:t>.00</w:t>
            </w:r>
          </w:p>
        </w:tc>
        <w:tc>
          <w:tcPr>
            <w:tcW w:w="508" w:type="pct"/>
            <w:tcBorders>
              <w:top w:val="nil"/>
              <w:left w:val="nil"/>
              <w:bottom w:val="single" w:color="auto" w:sz="8" w:space="0"/>
              <w:right w:val="single" w:color="auto" w:sz="8" w:space="0"/>
            </w:tcBorders>
            <w:shd w:val="clear" w:color="auto" w:fill="auto"/>
            <w:noWrap/>
          </w:tcPr>
          <w:p w14:paraId="1981750A">
            <w:pPr>
              <w:widowControl/>
              <w:adjustRightInd w:val="0"/>
              <w:spacing w:line="240" w:lineRule="auto"/>
              <w:jc w:val="center"/>
              <w:rPr>
                <w:rFonts w:cs="Times New Roman"/>
                <w:color w:val="000000"/>
                <w:kern w:val="0"/>
                <w:szCs w:val="24"/>
              </w:rPr>
            </w:pPr>
            <w:r>
              <w:t>4854</w:t>
            </w:r>
          </w:p>
        </w:tc>
        <w:tc>
          <w:tcPr>
            <w:tcW w:w="458" w:type="pct"/>
            <w:tcBorders>
              <w:top w:val="nil"/>
              <w:left w:val="nil"/>
              <w:bottom w:val="single" w:color="auto" w:sz="8" w:space="0"/>
              <w:right w:val="single" w:color="auto" w:sz="8" w:space="0"/>
            </w:tcBorders>
            <w:shd w:val="clear" w:color="auto" w:fill="auto"/>
            <w:noWrap/>
          </w:tcPr>
          <w:p w14:paraId="1673AD38">
            <w:pPr>
              <w:widowControl/>
              <w:adjustRightInd w:val="0"/>
              <w:spacing w:line="240" w:lineRule="auto"/>
              <w:jc w:val="center"/>
              <w:rPr>
                <w:rFonts w:cs="Times New Roman"/>
                <w:color w:val="000000"/>
                <w:kern w:val="0"/>
                <w:szCs w:val="24"/>
              </w:rPr>
            </w:pPr>
            <w:r>
              <w:t>0</w:t>
            </w:r>
            <w:r>
              <w:rPr>
                <w:rFonts w:hint="eastAsia"/>
              </w:rPr>
              <w:t>.00</w:t>
            </w:r>
          </w:p>
        </w:tc>
        <w:tc>
          <w:tcPr>
            <w:tcW w:w="357" w:type="pct"/>
            <w:tcBorders>
              <w:top w:val="nil"/>
              <w:left w:val="nil"/>
              <w:bottom w:val="single" w:color="auto" w:sz="8" w:space="0"/>
              <w:right w:val="single" w:color="auto" w:sz="8" w:space="0"/>
            </w:tcBorders>
            <w:shd w:val="clear" w:color="auto" w:fill="auto"/>
            <w:noWrap/>
          </w:tcPr>
          <w:p w14:paraId="6EC8F3BD">
            <w:pPr>
              <w:widowControl/>
              <w:adjustRightInd w:val="0"/>
              <w:spacing w:line="240" w:lineRule="auto"/>
              <w:jc w:val="center"/>
              <w:rPr>
                <w:rFonts w:cs="Times New Roman"/>
                <w:color w:val="000000"/>
                <w:kern w:val="0"/>
                <w:szCs w:val="24"/>
              </w:rPr>
            </w:pPr>
            <w:r>
              <w:t>0</w:t>
            </w:r>
            <w:r>
              <w:rPr>
                <w:rFonts w:hint="eastAsia"/>
              </w:rPr>
              <w:t>.00</w:t>
            </w:r>
          </w:p>
        </w:tc>
        <w:tc>
          <w:tcPr>
            <w:tcW w:w="416" w:type="pct"/>
            <w:tcBorders>
              <w:top w:val="nil"/>
              <w:left w:val="nil"/>
              <w:bottom w:val="single" w:color="auto" w:sz="8" w:space="0"/>
              <w:right w:val="single" w:color="auto" w:sz="8" w:space="0"/>
            </w:tcBorders>
            <w:shd w:val="clear" w:color="auto" w:fill="auto"/>
            <w:noWrap/>
          </w:tcPr>
          <w:p w14:paraId="2E3B94EB">
            <w:pPr>
              <w:widowControl/>
              <w:adjustRightInd w:val="0"/>
              <w:spacing w:line="240" w:lineRule="auto"/>
              <w:jc w:val="center"/>
              <w:rPr>
                <w:rFonts w:cs="Times New Roman"/>
                <w:color w:val="000000"/>
                <w:kern w:val="0"/>
                <w:szCs w:val="24"/>
              </w:rPr>
            </w:pPr>
            <w:r>
              <w:t>0</w:t>
            </w:r>
            <w:r>
              <w:rPr>
                <w:rFonts w:hint="eastAsia"/>
              </w:rPr>
              <w:t>.00</w:t>
            </w:r>
          </w:p>
        </w:tc>
        <w:tc>
          <w:tcPr>
            <w:tcW w:w="314" w:type="pct"/>
            <w:tcBorders>
              <w:top w:val="nil"/>
              <w:left w:val="nil"/>
              <w:bottom w:val="single" w:color="auto" w:sz="8" w:space="0"/>
              <w:right w:val="single" w:color="auto" w:sz="8" w:space="0"/>
            </w:tcBorders>
            <w:shd w:val="clear" w:color="auto" w:fill="auto"/>
            <w:noWrap/>
          </w:tcPr>
          <w:p w14:paraId="3ECCCD91">
            <w:pPr>
              <w:widowControl/>
              <w:adjustRightInd w:val="0"/>
              <w:spacing w:line="240" w:lineRule="auto"/>
              <w:jc w:val="center"/>
              <w:rPr>
                <w:rFonts w:cs="Times New Roman"/>
                <w:color w:val="000000"/>
                <w:kern w:val="0"/>
                <w:szCs w:val="24"/>
              </w:rPr>
            </w:pPr>
            <w:r>
              <w:t>0</w:t>
            </w:r>
            <w:r>
              <w:rPr>
                <w:rFonts w:hint="eastAsia"/>
              </w:rPr>
              <w:t>.00</w:t>
            </w:r>
          </w:p>
        </w:tc>
        <w:tc>
          <w:tcPr>
            <w:tcW w:w="361" w:type="pct"/>
            <w:tcBorders>
              <w:top w:val="nil"/>
              <w:left w:val="nil"/>
              <w:bottom w:val="single" w:color="auto" w:sz="8" w:space="0"/>
              <w:right w:val="single" w:color="auto" w:sz="8" w:space="0"/>
            </w:tcBorders>
            <w:shd w:val="clear" w:color="auto" w:fill="auto"/>
            <w:noWrap/>
          </w:tcPr>
          <w:p w14:paraId="51F7177B">
            <w:pPr>
              <w:widowControl/>
              <w:adjustRightInd w:val="0"/>
              <w:spacing w:line="240" w:lineRule="auto"/>
              <w:jc w:val="center"/>
              <w:rPr>
                <w:rFonts w:cs="Times New Roman"/>
                <w:color w:val="000000"/>
                <w:kern w:val="0"/>
                <w:szCs w:val="24"/>
              </w:rPr>
            </w:pPr>
            <w:r>
              <w:t>4854.00</w:t>
            </w:r>
          </w:p>
        </w:tc>
        <w:tc>
          <w:tcPr>
            <w:tcW w:w="250" w:type="pct"/>
            <w:tcBorders>
              <w:top w:val="nil"/>
              <w:left w:val="nil"/>
              <w:bottom w:val="single" w:color="auto" w:sz="8" w:space="0"/>
              <w:right w:val="single" w:color="auto" w:sz="8" w:space="0"/>
            </w:tcBorders>
            <w:shd w:val="clear" w:color="auto" w:fill="auto"/>
            <w:noWrap/>
          </w:tcPr>
          <w:p w14:paraId="0F4CA16E">
            <w:pPr>
              <w:widowControl/>
              <w:adjustRightInd w:val="0"/>
              <w:spacing w:line="240" w:lineRule="auto"/>
              <w:jc w:val="center"/>
              <w:rPr>
                <w:rFonts w:cs="Times New Roman"/>
                <w:color w:val="000000"/>
                <w:kern w:val="0"/>
                <w:szCs w:val="24"/>
              </w:rPr>
            </w:pPr>
            <w:r>
              <w:rPr>
                <w:rFonts w:hint="eastAsia" w:cs="Times New Roman"/>
                <w:color w:val="000000"/>
                <w:kern w:val="0"/>
                <w:szCs w:val="24"/>
              </w:rPr>
              <w:t>0.00</w:t>
            </w:r>
          </w:p>
        </w:tc>
        <w:tc>
          <w:tcPr>
            <w:tcW w:w="357" w:type="pct"/>
            <w:tcBorders>
              <w:top w:val="nil"/>
              <w:left w:val="nil"/>
              <w:bottom w:val="single" w:color="auto" w:sz="8" w:space="0"/>
              <w:right w:val="single" w:color="auto" w:sz="8" w:space="0"/>
            </w:tcBorders>
            <w:shd w:val="clear" w:color="auto" w:fill="auto"/>
            <w:noWrap/>
          </w:tcPr>
          <w:p w14:paraId="09D9A0FA">
            <w:pPr>
              <w:widowControl/>
              <w:adjustRightInd w:val="0"/>
              <w:spacing w:line="240" w:lineRule="auto"/>
              <w:jc w:val="center"/>
              <w:rPr>
                <w:rFonts w:cs="Times New Roman"/>
                <w:color w:val="000000"/>
                <w:kern w:val="0"/>
                <w:szCs w:val="24"/>
              </w:rPr>
            </w:pPr>
            <w:r>
              <w:t>0.00</w:t>
            </w:r>
          </w:p>
        </w:tc>
      </w:tr>
      <w:tr w14:paraId="44226E49">
        <w:tblPrEx>
          <w:tblCellMar>
            <w:top w:w="0" w:type="dxa"/>
            <w:left w:w="108" w:type="dxa"/>
            <w:bottom w:w="0" w:type="dxa"/>
            <w:right w:w="108" w:type="dxa"/>
          </w:tblCellMar>
        </w:tblPrEx>
        <w:trPr>
          <w:trHeight w:val="300" w:hRule="atLeast"/>
        </w:trPr>
        <w:tc>
          <w:tcPr>
            <w:tcW w:w="402" w:type="pct"/>
            <w:vMerge w:val="continue"/>
            <w:tcBorders>
              <w:top w:val="nil"/>
              <w:left w:val="single" w:color="auto" w:sz="8" w:space="0"/>
              <w:bottom w:val="single" w:color="000000" w:sz="8" w:space="0"/>
              <w:right w:val="single" w:color="auto" w:sz="8" w:space="0"/>
            </w:tcBorders>
            <w:vAlign w:val="center"/>
          </w:tcPr>
          <w:p w14:paraId="3586578A">
            <w:pPr>
              <w:widowControl/>
              <w:adjustRightInd w:val="0"/>
              <w:spacing w:line="240" w:lineRule="auto"/>
              <w:jc w:val="center"/>
              <w:rPr>
                <w:rFonts w:cs="Times New Roman"/>
                <w:color w:val="000000"/>
                <w:kern w:val="0"/>
                <w:szCs w:val="24"/>
              </w:rPr>
            </w:pPr>
          </w:p>
        </w:tc>
        <w:tc>
          <w:tcPr>
            <w:tcW w:w="509" w:type="pct"/>
            <w:tcBorders>
              <w:top w:val="nil"/>
              <w:left w:val="nil"/>
              <w:bottom w:val="single" w:color="auto" w:sz="8" w:space="0"/>
              <w:right w:val="single" w:color="auto" w:sz="8" w:space="0"/>
            </w:tcBorders>
            <w:shd w:val="clear" w:color="auto" w:fill="auto"/>
            <w:noWrap/>
            <w:vAlign w:val="center"/>
          </w:tcPr>
          <w:p w14:paraId="7DD92AC3">
            <w:pPr>
              <w:widowControl/>
              <w:adjustRightInd w:val="0"/>
              <w:spacing w:line="240" w:lineRule="auto"/>
              <w:jc w:val="center"/>
              <w:rPr>
                <w:rFonts w:cs="Times New Roman"/>
                <w:color w:val="000000"/>
                <w:kern w:val="0"/>
                <w:szCs w:val="24"/>
              </w:rPr>
            </w:pPr>
            <w:r>
              <w:rPr>
                <w:rFonts w:cs="Times New Roman"/>
                <w:color w:val="000000"/>
                <w:kern w:val="0"/>
                <w:szCs w:val="24"/>
              </w:rPr>
              <w:t>合计</w:t>
            </w:r>
          </w:p>
        </w:tc>
        <w:tc>
          <w:tcPr>
            <w:tcW w:w="561" w:type="pct"/>
            <w:tcBorders>
              <w:top w:val="nil"/>
              <w:left w:val="nil"/>
              <w:bottom w:val="single" w:color="auto" w:sz="8" w:space="0"/>
              <w:right w:val="single" w:color="auto" w:sz="8" w:space="0"/>
            </w:tcBorders>
            <w:shd w:val="clear" w:color="auto" w:fill="auto"/>
            <w:noWrap/>
          </w:tcPr>
          <w:p w14:paraId="0F4A6EAF">
            <w:pPr>
              <w:widowControl/>
              <w:adjustRightInd w:val="0"/>
              <w:spacing w:line="240" w:lineRule="auto"/>
              <w:jc w:val="center"/>
              <w:rPr>
                <w:rFonts w:cs="Times New Roman"/>
                <w:color w:val="000000"/>
                <w:kern w:val="0"/>
                <w:szCs w:val="24"/>
              </w:rPr>
            </w:pPr>
            <w:r>
              <w:t>8215.00</w:t>
            </w:r>
          </w:p>
        </w:tc>
        <w:tc>
          <w:tcPr>
            <w:tcW w:w="509" w:type="pct"/>
            <w:tcBorders>
              <w:top w:val="nil"/>
              <w:left w:val="nil"/>
              <w:bottom w:val="single" w:color="auto" w:sz="8" w:space="0"/>
              <w:right w:val="single" w:color="auto" w:sz="8" w:space="0"/>
            </w:tcBorders>
            <w:shd w:val="clear" w:color="auto" w:fill="auto"/>
            <w:noWrap/>
          </w:tcPr>
          <w:p w14:paraId="3584DC28">
            <w:pPr>
              <w:widowControl/>
              <w:adjustRightInd w:val="0"/>
              <w:spacing w:line="240" w:lineRule="auto"/>
              <w:jc w:val="center"/>
              <w:rPr>
                <w:rFonts w:cs="Times New Roman"/>
                <w:color w:val="000000"/>
                <w:kern w:val="0"/>
                <w:szCs w:val="24"/>
              </w:rPr>
            </w:pPr>
            <w:r>
              <w:t>771.73</w:t>
            </w:r>
          </w:p>
        </w:tc>
        <w:tc>
          <w:tcPr>
            <w:tcW w:w="508" w:type="pct"/>
            <w:tcBorders>
              <w:top w:val="nil"/>
              <w:left w:val="nil"/>
              <w:bottom w:val="single" w:color="auto" w:sz="8" w:space="0"/>
              <w:right w:val="single" w:color="auto" w:sz="8" w:space="0"/>
            </w:tcBorders>
            <w:shd w:val="clear" w:color="auto" w:fill="auto"/>
            <w:noWrap/>
          </w:tcPr>
          <w:p w14:paraId="44FEC74B">
            <w:pPr>
              <w:widowControl/>
              <w:adjustRightInd w:val="0"/>
              <w:spacing w:line="240" w:lineRule="auto"/>
              <w:jc w:val="center"/>
              <w:rPr>
                <w:rFonts w:cs="Times New Roman"/>
                <w:color w:val="000000"/>
                <w:kern w:val="0"/>
                <w:szCs w:val="24"/>
              </w:rPr>
            </w:pPr>
            <w:r>
              <w:t>7105.87</w:t>
            </w:r>
          </w:p>
        </w:tc>
        <w:tc>
          <w:tcPr>
            <w:tcW w:w="458" w:type="pct"/>
            <w:tcBorders>
              <w:top w:val="nil"/>
              <w:left w:val="nil"/>
              <w:bottom w:val="single" w:color="auto" w:sz="8" w:space="0"/>
              <w:right w:val="single" w:color="auto" w:sz="8" w:space="0"/>
            </w:tcBorders>
            <w:shd w:val="clear" w:color="auto" w:fill="auto"/>
            <w:noWrap/>
          </w:tcPr>
          <w:p w14:paraId="7D305D23">
            <w:pPr>
              <w:widowControl/>
              <w:adjustRightInd w:val="0"/>
              <w:spacing w:line="240" w:lineRule="auto"/>
              <w:jc w:val="center"/>
              <w:rPr>
                <w:rFonts w:cs="Times New Roman"/>
                <w:color w:val="000000"/>
                <w:kern w:val="0"/>
                <w:szCs w:val="24"/>
              </w:rPr>
            </w:pPr>
            <w:r>
              <w:t>1698.59</w:t>
            </w:r>
          </w:p>
        </w:tc>
        <w:tc>
          <w:tcPr>
            <w:tcW w:w="357" w:type="pct"/>
            <w:tcBorders>
              <w:top w:val="nil"/>
              <w:left w:val="nil"/>
              <w:bottom w:val="single" w:color="auto" w:sz="8" w:space="0"/>
              <w:right w:val="single" w:color="auto" w:sz="8" w:space="0"/>
            </w:tcBorders>
            <w:shd w:val="clear" w:color="auto" w:fill="auto"/>
            <w:noWrap/>
          </w:tcPr>
          <w:p w14:paraId="43720033">
            <w:pPr>
              <w:widowControl/>
              <w:adjustRightInd w:val="0"/>
              <w:spacing w:line="240" w:lineRule="auto"/>
              <w:jc w:val="center"/>
              <w:rPr>
                <w:rFonts w:cs="Times New Roman"/>
                <w:color w:val="000000"/>
                <w:kern w:val="0"/>
                <w:szCs w:val="24"/>
              </w:rPr>
            </w:pPr>
            <w:r>
              <w:t>3.75</w:t>
            </w:r>
          </w:p>
        </w:tc>
        <w:tc>
          <w:tcPr>
            <w:tcW w:w="416" w:type="pct"/>
            <w:tcBorders>
              <w:top w:val="nil"/>
              <w:left w:val="nil"/>
              <w:bottom w:val="single" w:color="auto" w:sz="8" w:space="0"/>
              <w:right w:val="single" w:color="auto" w:sz="8" w:space="0"/>
            </w:tcBorders>
            <w:shd w:val="clear" w:color="auto" w:fill="auto"/>
            <w:noWrap/>
          </w:tcPr>
          <w:p w14:paraId="077E815E">
            <w:pPr>
              <w:widowControl/>
              <w:adjustRightInd w:val="0"/>
              <w:spacing w:line="240" w:lineRule="auto"/>
              <w:jc w:val="center"/>
              <w:rPr>
                <w:rFonts w:cs="Times New Roman"/>
                <w:color w:val="000000"/>
                <w:kern w:val="0"/>
                <w:szCs w:val="24"/>
              </w:rPr>
            </w:pPr>
            <w:r>
              <w:t>82.00</w:t>
            </w:r>
          </w:p>
        </w:tc>
        <w:tc>
          <w:tcPr>
            <w:tcW w:w="314" w:type="pct"/>
            <w:tcBorders>
              <w:top w:val="nil"/>
              <w:left w:val="nil"/>
              <w:bottom w:val="single" w:color="auto" w:sz="8" w:space="0"/>
              <w:right w:val="single" w:color="auto" w:sz="8" w:space="0"/>
            </w:tcBorders>
            <w:shd w:val="clear" w:color="auto" w:fill="auto"/>
            <w:noWrap/>
          </w:tcPr>
          <w:p w14:paraId="1B35A8A6">
            <w:pPr>
              <w:widowControl/>
              <w:adjustRightInd w:val="0"/>
              <w:spacing w:line="240" w:lineRule="auto"/>
              <w:jc w:val="center"/>
              <w:rPr>
                <w:rFonts w:cs="Times New Roman"/>
                <w:color w:val="000000"/>
                <w:kern w:val="0"/>
                <w:szCs w:val="24"/>
              </w:rPr>
            </w:pPr>
            <w:r>
              <w:t>199.20</w:t>
            </w:r>
          </w:p>
        </w:tc>
        <w:tc>
          <w:tcPr>
            <w:tcW w:w="361" w:type="pct"/>
            <w:tcBorders>
              <w:top w:val="nil"/>
              <w:left w:val="nil"/>
              <w:bottom w:val="single" w:color="auto" w:sz="8" w:space="0"/>
              <w:right w:val="single" w:color="auto" w:sz="8" w:space="0"/>
            </w:tcBorders>
            <w:shd w:val="clear" w:color="auto" w:fill="auto"/>
            <w:noWrap/>
          </w:tcPr>
          <w:p w14:paraId="7493B64D">
            <w:pPr>
              <w:widowControl/>
              <w:adjustRightInd w:val="0"/>
              <w:spacing w:line="240" w:lineRule="auto"/>
              <w:jc w:val="center"/>
              <w:rPr>
                <w:rFonts w:cs="Times New Roman"/>
                <w:color w:val="000000"/>
                <w:kern w:val="0"/>
                <w:szCs w:val="24"/>
              </w:rPr>
            </w:pPr>
            <w:r>
              <w:t>9861.14</w:t>
            </w:r>
          </w:p>
        </w:tc>
        <w:tc>
          <w:tcPr>
            <w:tcW w:w="250" w:type="pct"/>
            <w:tcBorders>
              <w:top w:val="nil"/>
              <w:left w:val="nil"/>
              <w:bottom w:val="single" w:color="auto" w:sz="8" w:space="0"/>
              <w:right w:val="single" w:color="auto" w:sz="8" w:space="0"/>
            </w:tcBorders>
            <w:shd w:val="clear" w:color="auto" w:fill="auto"/>
            <w:noWrap/>
          </w:tcPr>
          <w:p w14:paraId="61C5AB8C">
            <w:pPr>
              <w:widowControl/>
              <w:adjustRightInd w:val="0"/>
              <w:spacing w:line="240" w:lineRule="auto"/>
              <w:jc w:val="center"/>
              <w:rPr>
                <w:rFonts w:cs="Times New Roman"/>
                <w:color w:val="000000"/>
                <w:kern w:val="0"/>
                <w:szCs w:val="24"/>
              </w:rPr>
            </w:pPr>
            <w:r>
              <w:t>0.00</w:t>
            </w:r>
          </w:p>
        </w:tc>
        <w:tc>
          <w:tcPr>
            <w:tcW w:w="357" w:type="pct"/>
            <w:tcBorders>
              <w:top w:val="nil"/>
              <w:left w:val="nil"/>
              <w:bottom w:val="single" w:color="auto" w:sz="8" w:space="0"/>
              <w:right w:val="single" w:color="auto" w:sz="8" w:space="0"/>
            </w:tcBorders>
            <w:shd w:val="clear" w:color="auto" w:fill="auto"/>
            <w:noWrap/>
          </w:tcPr>
          <w:p w14:paraId="7752F232">
            <w:pPr>
              <w:widowControl/>
              <w:adjustRightInd w:val="0"/>
              <w:spacing w:line="240" w:lineRule="auto"/>
              <w:jc w:val="center"/>
              <w:rPr>
                <w:rFonts w:cs="Times New Roman"/>
                <w:color w:val="000000"/>
                <w:kern w:val="0"/>
                <w:szCs w:val="24"/>
              </w:rPr>
            </w:pPr>
            <w:r>
              <w:t>1646.14</w:t>
            </w:r>
          </w:p>
        </w:tc>
      </w:tr>
    </w:tbl>
    <w:p w14:paraId="0EE691E2">
      <w:pPr>
        <w:widowControl/>
        <w:adjustRightInd w:val="0"/>
        <w:spacing w:before="163" w:beforeLines="50"/>
        <w:ind w:firstLine="560" w:firstLineChars="200"/>
        <w:rPr>
          <w:rFonts w:cs="Times New Roman"/>
          <w:sz w:val="28"/>
          <w:szCs w:val="28"/>
        </w:rPr>
      </w:pPr>
      <w:r>
        <w:rPr>
          <w:rFonts w:hint="eastAsia" w:cs="Times New Roman"/>
          <w:sz w:val="28"/>
          <w:szCs w:val="28"/>
        </w:rPr>
        <w:t>③缺水补充建议</w:t>
      </w:r>
    </w:p>
    <w:p w14:paraId="67C18D73">
      <w:pPr>
        <w:widowControl/>
        <w:adjustRightInd w:val="0"/>
        <w:ind w:firstLine="562" w:firstLineChars="200"/>
        <w:rPr>
          <w:rFonts w:cs="Times New Roman"/>
          <w:b/>
          <w:bCs/>
          <w:sz w:val="28"/>
          <w:szCs w:val="28"/>
        </w:rPr>
      </w:pPr>
      <w:r>
        <w:rPr>
          <w:rFonts w:hint="eastAsia" w:cs="Times New Roman"/>
          <w:b/>
          <w:bCs/>
          <w:sz w:val="28"/>
          <w:szCs w:val="28"/>
        </w:rPr>
        <w:t>规划年南水北调西线工程生效后，由包头市统一调配补充九原区不足水资源量。</w:t>
      </w:r>
    </w:p>
    <w:p w14:paraId="6E6D54A4">
      <w:pPr>
        <w:widowControl/>
        <w:adjustRightInd w:val="0"/>
        <w:ind w:firstLine="560" w:firstLineChars="200"/>
        <w:rPr>
          <w:rFonts w:cs="Times New Roman"/>
          <w:sz w:val="28"/>
          <w:szCs w:val="28"/>
        </w:rPr>
      </w:pPr>
    </w:p>
    <w:p w14:paraId="5E79C56F">
      <w:pPr>
        <w:widowControl/>
        <w:adjustRightInd w:val="0"/>
        <w:ind w:firstLine="560" w:firstLineChars="200"/>
        <w:rPr>
          <w:rFonts w:cs="Times New Roman"/>
          <w:sz w:val="28"/>
          <w:szCs w:val="28"/>
        </w:rPr>
        <w:sectPr>
          <w:pgSz w:w="16838" w:h="11906" w:orient="landscape"/>
          <w:pgMar w:top="1800" w:right="1440" w:bottom="1800" w:left="1440" w:header="851" w:footer="992" w:gutter="0"/>
          <w:cols w:space="425" w:num="1"/>
          <w:docGrid w:type="lines" w:linePitch="326" w:charSpace="0"/>
        </w:sectPr>
      </w:pPr>
    </w:p>
    <w:p w14:paraId="582D8A77">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08" w:name="_Toc198652052"/>
      <w:r>
        <w:rPr>
          <w:rFonts w:ascii="Times New Roman" w:hAnsi="Times New Roman" w:eastAsia="黑体" w:cs="Times New Roman"/>
          <w:b w:val="0"/>
          <w:bCs w:val="0"/>
          <w:kern w:val="0"/>
          <w:sz w:val="28"/>
          <w:szCs w:val="28"/>
        </w:rPr>
        <w:t>4.</w:t>
      </w:r>
      <w:r>
        <w:rPr>
          <w:rFonts w:hint="eastAsia" w:ascii="Times New Roman" w:hAnsi="Times New Roman" w:eastAsia="黑体" w:cs="Times New Roman"/>
          <w:b w:val="0"/>
          <w:bCs w:val="0"/>
          <w:kern w:val="0"/>
          <w:sz w:val="28"/>
          <w:szCs w:val="28"/>
        </w:rPr>
        <w:t>4</w:t>
      </w:r>
      <w:r>
        <w:rPr>
          <w:rFonts w:ascii="Times New Roman" w:hAnsi="Times New Roman" w:eastAsia="黑体" w:cs="Times New Roman"/>
          <w:b w:val="0"/>
          <w:bCs w:val="0"/>
          <w:kern w:val="0"/>
          <w:sz w:val="28"/>
          <w:szCs w:val="28"/>
        </w:rPr>
        <w:t>水资源总体调配格局与工程建设</w:t>
      </w:r>
      <w:bookmarkEnd w:id="108"/>
    </w:p>
    <w:p w14:paraId="6625DA82">
      <w:pPr>
        <w:pStyle w:val="4"/>
        <w:widowControl/>
        <w:adjustRightInd w:val="0"/>
        <w:spacing w:before="0" w:after="0" w:line="360" w:lineRule="auto"/>
        <w:jc w:val="left"/>
        <w:rPr>
          <w:rFonts w:eastAsia="黑体" w:cs="Times New Roman"/>
          <w:b w:val="0"/>
          <w:bCs w:val="0"/>
          <w:kern w:val="0"/>
          <w:sz w:val="28"/>
          <w:szCs w:val="28"/>
        </w:rPr>
      </w:pPr>
      <w:bookmarkStart w:id="109" w:name="_Toc198652053"/>
      <w:r>
        <w:rPr>
          <w:rFonts w:eastAsia="黑体" w:cs="Times New Roman"/>
          <w:b w:val="0"/>
          <w:bCs w:val="0"/>
          <w:kern w:val="0"/>
          <w:sz w:val="28"/>
          <w:szCs w:val="28"/>
        </w:rPr>
        <w:t>4.</w:t>
      </w:r>
      <w:r>
        <w:rPr>
          <w:rFonts w:hint="eastAsia" w:eastAsia="黑体" w:cs="Times New Roman"/>
          <w:b w:val="0"/>
          <w:bCs w:val="0"/>
          <w:kern w:val="0"/>
          <w:sz w:val="28"/>
          <w:szCs w:val="28"/>
        </w:rPr>
        <w:t>4</w:t>
      </w:r>
      <w:r>
        <w:rPr>
          <w:rFonts w:eastAsia="黑体" w:cs="Times New Roman"/>
          <w:b w:val="0"/>
          <w:bCs w:val="0"/>
          <w:kern w:val="0"/>
          <w:sz w:val="28"/>
          <w:szCs w:val="28"/>
        </w:rPr>
        <w:t>.1总体调配格局</w:t>
      </w:r>
      <w:bookmarkEnd w:id="109"/>
    </w:p>
    <w:p w14:paraId="5FE6418D">
      <w:pPr>
        <w:widowControl/>
        <w:adjustRightInd w:val="0"/>
        <w:ind w:firstLine="560" w:firstLineChars="200"/>
        <w:rPr>
          <w:rFonts w:cs="Times New Roman"/>
          <w:sz w:val="28"/>
          <w:szCs w:val="28"/>
        </w:rPr>
      </w:pPr>
      <w:r>
        <w:rPr>
          <w:rFonts w:cs="Times New Roman"/>
          <w:sz w:val="28"/>
          <w:szCs w:val="28"/>
        </w:rPr>
        <w:t>针对</w:t>
      </w:r>
      <w:r>
        <w:rPr>
          <w:rFonts w:hint="eastAsia" w:cs="Times New Roman"/>
          <w:sz w:val="28"/>
          <w:szCs w:val="28"/>
        </w:rPr>
        <w:t>九原区本地</w:t>
      </w:r>
      <w:r>
        <w:rPr>
          <w:rFonts w:cs="Times New Roman"/>
          <w:sz w:val="28"/>
          <w:szCs w:val="28"/>
        </w:rPr>
        <w:t>的特点，结合2035年</w:t>
      </w:r>
      <w:r>
        <w:rPr>
          <w:rFonts w:hint="eastAsia" w:cs="Times New Roman"/>
          <w:sz w:val="28"/>
          <w:szCs w:val="28"/>
        </w:rPr>
        <w:t>包头市统一规划</w:t>
      </w:r>
      <w:r>
        <w:rPr>
          <w:rFonts w:cs="Times New Roman"/>
          <w:sz w:val="28"/>
          <w:szCs w:val="28"/>
        </w:rPr>
        <w:t>刚性合理用水需求，通过水源之间的互联互通，以及各类水源的合理配置，有效挖掘本地水供水潜力，尽可能扩大黄河水供水范围，逐步织密</w:t>
      </w:r>
      <w:r>
        <w:rPr>
          <w:rFonts w:hint="eastAsia" w:cs="Times New Roman"/>
          <w:sz w:val="28"/>
          <w:szCs w:val="28"/>
        </w:rPr>
        <w:t>九原区</w:t>
      </w:r>
      <w:r>
        <w:rPr>
          <w:rFonts w:cs="Times New Roman"/>
          <w:sz w:val="28"/>
          <w:szCs w:val="28"/>
        </w:rPr>
        <w:t>水资源配置网，促进水资源与经济发展空间均衡。</w:t>
      </w:r>
    </w:p>
    <w:p w14:paraId="11F61C3C">
      <w:pPr>
        <w:pStyle w:val="4"/>
        <w:widowControl/>
        <w:adjustRightInd w:val="0"/>
        <w:spacing w:before="0" w:after="0" w:line="360" w:lineRule="auto"/>
        <w:jc w:val="left"/>
        <w:rPr>
          <w:rFonts w:eastAsia="黑体" w:cs="Times New Roman"/>
          <w:b w:val="0"/>
          <w:bCs w:val="0"/>
          <w:kern w:val="0"/>
          <w:sz w:val="28"/>
          <w:szCs w:val="28"/>
        </w:rPr>
      </w:pPr>
      <w:bookmarkStart w:id="110" w:name="_Toc198652054"/>
      <w:r>
        <w:rPr>
          <w:rFonts w:eastAsia="黑体" w:cs="Times New Roman"/>
          <w:b w:val="0"/>
          <w:bCs w:val="0"/>
          <w:kern w:val="0"/>
          <w:sz w:val="28"/>
          <w:szCs w:val="28"/>
        </w:rPr>
        <w:t>4.</w:t>
      </w:r>
      <w:r>
        <w:rPr>
          <w:rFonts w:hint="eastAsia" w:eastAsia="黑体" w:cs="Times New Roman"/>
          <w:b w:val="0"/>
          <w:bCs w:val="0"/>
          <w:kern w:val="0"/>
          <w:sz w:val="28"/>
          <w:szCs w:val="28"/>
        </w:rPr>
        <w:t>4</w:t>
      </w:r>
      <w:r>
        <w:rPr>
          <w:rFonts w:eastAsia="黑体" w:cs="Times New Roman"/>
          <w:b w:val="0"/>
          <w:bCs w:val="0"/>
          <w:kern w:val="0"/>
          <w:sz w:val="28"/>
          <w:szCs w:val="28"/>
        </w:rPr>
        <w:t>.2区域调配格局</w:t>
      </w:r>
      <w:bookmarkEnd w:id="110"/>
    </w:p>
    <w:p w14:paraId="29A5DA81">
      <w:pPr>
        <w:widowControl/>
        <w:adjustRightInd w:val="0"/>
        <w:ind w:firstLine="560" w:firstLineChars="200"/>
        <w:rPr>
          <w:rFonts w:cs="Times New Roman"/>
          <w:sz w:val="28"/>
          <w:szCs w:val="28"/>
        </w:rPr>
      </w:pPr>
      <w:r>
        <w:rPr>
          <w:rFonts w:cs="Times New Roman"/>
          <w:sz w:val="28"/>
          <w:szCs w:val="28"/>
        </w:rPr>
        <w:t>进一步优化流域的防洪减灾、供水保障、生态用水等综合调控能力。根据水资源配置方案，提出水资源配置方向、格局、线路安排等。</w:t>
      </w:r>
    </w:p>
    <w:p w14:paraId="5ABC3CE3">
      <w:pPr>
        <w:pStyle w:val="4"/>
        <w:widowControl/>
        <w:adjustRightInd w:val="0"/>
        <w:spacing w:before="0" w:after="0" w:line="360" w:lineRule="auto"/>
        <w:jc w:val="left"/>
        <w:rPr>
          <w:rFonts w:eastAsia="黑体" w:cs="Times New Roman"/>
          <w:b w:val="0"/>
          <w:bCs w:val="0"/>
          <w:kern w:val="0"/>
          <w:sz w:val="28"/>
          <w:szCs w:val="28"/>
        </w:rPr>
      </w:pPr>
      <w:bookmarkStart w:id="111" w:name="_Toc198652055"/>
      <w:r>
        <w:rPr>
          <w:rFonts w:eastAsia="黑体" w:cs="Times New Roman"/>
          <w:b w:val="0"/>
          <w:bCs w:val="0"/>
          <w:kern w:val="0"/>
          <w:sz w:val="28"/>
          <w:szCs w:val="28"/>
        </w:rPr>
        <w:t>4.</w:t>
      </w:r>
      <w:r>
        <w:rPr>
          <w:rFonts w:hint="eastAsia" w:eastAsia="黑体" w:cs="Times New Roman"/>
          <w:b w:val="0"/>
          <w:bCs w:val="0"/>
          <w:kern w:val="0"/>
          <w:sz w:val="28"/>
          <w:szCs w:val="28"/>
        </w:rPr>
        <w:t>4</w:t>
      </w:r>
      <w:r>
        <w:rPr>
          <w:rFonts w:eastAsia="黑体" w:cs="Times New Roman"/>
          <w:b w:val="0"/>
          <w:bCs w:val="0"/>
          <w:kern w:val="0"/>
          <w:sz w:val="28"/>
          <w:szCs w:val="28"/>
        </w:rPr>
        <w:t>.3水资源调配工程</w:t>
      </w:r>
      <w:bookmarkEnd w:id="111"/>
    </w:p>
    <w:p w14:paraId="0278A8E2">
      <w:pPr>
        <w:widowControl/>
        <w:adjustRightInd w:val="0"/>
        <w:ind w:firstLine="560" w:firstLineChars="200"/>
        <w:rPr>
          <w:rFonts w:cs="Times New Roman"/>
          <w:sz w:val="28"/>
          <w:szCs w:val="28"/>
        </w:rPr>
      </w:pPr>
      <w:r>
        <w:rPr>
          <w:rFonts w:cs="Times New Roman"/>
          <w:sz w:val="28"/>
          <w:szCs w:val="28"/>
        </w:rPr>
        <w:t>进一步优化流域水资源调控能力。</w:t>
      </w:r>
    </w:p>
    <w:p w14:paraId="69F3A676">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12" w:name="_Toc198652056"/>
      <w:r>
        <w:rPr>
          <w:rFonts w:ascii="Times New Roman" w:hAnsi="Times New Roman" w:eastAsia="黑体" w:cs="Times New Roman"/>
          <w:b w:val="0"/>
          <w:bCs w:val="0"/>
          <w:kern w:val="0"/>
          <w:sz w:val="28"/>
          <w:szCs w:val="28"/>
        </w:rPr>
        <w:t>4.</w:t>
      </w:r>
      <w:r>
        <w:rPr>
          <w:rFonts w:hint="eastAsia" w:ascii="Times New Roman" w:hAnsi="Times New Roman" w:eastAsia="黑体" w:cs="Times New Roman"/>
          <w:b w:val="0"/>
          <w:bCs w:val="0"/>
          <w:kern w:val="0"/>
          <w:sz w:val="28"/>
          <w:szCs w:val="28"/>
        </w:rPr>
        <w:t>5</w:t>
      </w:r>
      <w:r>
        <w:rPr>
          <w:rFonts w:ascii="Times New Roman" w:hAnsi="Times New Roman" w:eastAsia="黑体" w:cs="Times New Roman"/>
          <w:b w:val="0"/>
          <w:bCs w:val="0"/>
          <w:kern w:val="0"/>
          <w:sz w:val="28"/>
          <w:szCs w:val="28"/>
        </w:rPr>
        <w:t>城乡供水</w:t>
      </w:r>
      <w:r>
        <w:rPr>
          <w:rFonts w:hint="eastAsia" w:ascii="Times New Roman" w:hAnsi="Times New Roman" w:eastAsia="黑体" w:cs="Times New Roman"/>
          <w:b w:val="0"/>
          <w:bCs w:val="0"/>
          <w:kern w:val="0"/>
          <w:sz w:val="28"/>
          <w:szCs w:val="28"/>
        </w:rPr>
        <w:t>高质量发展</w:t>
      </w:r>
      <w:bookmarkEnd w:id="112"/>
    </w:p>
    <w:p w14:paraId="2EEC0D5D">
      <w:pPr>
        <w:widowControl/>
        <w:adjustRightInd w:val="0"/>
        <w:ind w:firstLine="560" w:firstLineChars="200"/>
      </w:pPr>
      <w:r>
        <w:rPr>
          <w:rFonts w:hint="eastAsia" w:cs="Times New Roman"/>
          <w:sz w:val="28"/>
          <w:szCs w:val="28"/>
        </w:rPr>
        <w:t>全面加强城乡供水基础设施建设，强化城市供水多源保障，构建高品质、有韧性的供水保障体系。大力推进城乡供水一体化，因地制宜推进规模化供水，结合区域水资源条件合理确定城乡供水保障方案。</w:t>
      </w:r>
    </w:p>
    <w:p w14:paraId="4345FE32">
      <w:pPr>
        <w:pStyle w:val="4"/>
        <w:widowControl/>
        <w:adjustRightInd w:val="0"/>
        <w:spacing w:before="0" w:after="0" w:line="360" w:lineRule="auto"/>
        <w:jc w:val="left"/>
        <w:rPr>
          <w:rFonts w:eastAsia="黑体" w:cs="Times New Roman"/>
          <w:b w:val="0"/>
          <w:bCs w:val="0"/>
          <w:kern w:val="0"/>
          <w:sz w:val="28"/>
          <w:szCs w:val="28"/>
        </w:rPr>
      </w:pPr>
      <w:bookmarkStart w:id="113" w:name="_Toc198652057"/>
      <w:r>
        <w:rPr>
          <w:rFonts w:eastAsia="黑体" w:cs="Times New Roman"/>
          <w:b w:val="0"/>
          <w:bCs w:val="0"/>
          <w:kern w:val="0"/>
          <w:sz w:val="28"/>
          <w:szCs w:val="28"/>
        </w:rPr>
        <w:t>4.</w:t>
      </w:r>
      <w:r>
        <w:rPr>
          <w:rFonts w:hint="eastAsia" w:eastAsia="黑体" w:cs="Times New Roman"/>
          <w:b w:val="0"/>
          <w:bCs w:val="0"/>
          <w:kern w:val="0"/>
          <w:sz w:val="28"/>
          <w:szCs w:val="28"/>
        </w:rPr>
        <w:t>5</w:t>
      </w:r>
      <w:r>
        <w:rPr>
          <w:rFonts w:eastAsia="黑体" w:cs="Times New Roman"/>
          <w:b w:val="0"/>
          <w:bCs w:val="0"/>
          <w:kern w:val="0"/>
          <w:sz w:val="28"/>
          <w:szCs w:val="28"/>
        </w:rPr>
        <w:t>.1城市供水保障体系</w:t>
      </w:r>
      <w:bookmarkEnd w:id="113"/>
    </w:p>
    <w:p w14:paraId="1421B61F">
      <w:pPr>
        <w:widowControl/>
        <w:adjustRightInd w:val="0"/>
        <w:ind w:firstLine="560" w:firstLineChars="200"/>
        <w:rPr>
          <w:b/>
          <w:bCs/>
        </w:rPr>
      </w:pPr>
      <w:r>
        <w:rPr>
          <w:rFonts w:hint="eastAsia" w:cs="Times New Roman"/>
          <w:sz w:val="28"/>
          <w:szCs w:val="28"/>
        </w:rPr>
        <w:t>九原区</w:t>
      </w:r>
      <w:r>
        <w:rPr>
          <w:rFonts w:cs="Times New Roman"/>
          <w:sz w:val="28"/>
          <w:szCs w:val="28"/>
        </w:rPr>
        <w:t>主城区供水系统</w:t>
      </w:r>
      <w:r>
        <w:rPr>
          <w:rFonts w:hint="eastAsia" w:cs="Times New Roman"/>
          <w:sz w:val="28"/>
          <w:szCs w:val="28"/>
        </w:rPr>
        <w:t>主要由包头市统一调配，</w:t>
      </w:r>
      <w:r>
        <w:rPr>
          <w:rFonts w:cs="Times New Roman"/>
          <w:sz w:val="28"/>
          <w:szCs w:val="28"/>
        </w:rPr>
        <w:t>包括城市公共供水系统</w:t>
      </w:r>
      <w:r>
        <w:rPr>
          <w:rFonts w:hint="eastAsia" w:cs="Times New Roman"/>
          <w:sz w:val="28"/>
          <w:szCs w:val="28"/>
        </w:rPr>
        <w:t>和</w:t>
      </w:r>
      <w:r>
        <w:rPr>
          <w:rFonts w:cs="Times New Roman"/>
          <w:sz w:val="28"/>
          <w:szCs w:val="28"/>
        </w:rPr>
        <w:t>集中公共（分散自备）地下水供水系统及再生水供水系统。</w:t>
      </w:r>
      <w:r>
        <w:rPr>
          <w:rFonts w:hint="eastAsia" w:cs="Times New Roman"/>
          <w:sz w:val="28"/>
          <w:szCs w:val="28"/>
        </w:rPr>
        <w:t>包头市</w:t>
      </w:r>
      <w:r>
        <w:rPr>
          <w:rFonts w:cs="Times New Roman"/>
          <w:b/>
          <w:bCs/>
          <w:sz w:val="28"/>
          <w:szCs w:val="28"/>
        </w:rPr>
        <w:t>以主城区供水网络为基础，根据道路布局，向周边阿嘎如泰苏木、哈业胡同乡镇延伸，并把沿线村庄均纳入到主城区一体化供水网络中，不断扩大主城区供水网络覆盖范围。</w:t>
      </w:r>
    </w:p>
    <w:p w14:paraId="779F36A9">
      <w:pPr>
        <w:pStyle w:val="4"/>
        <w:widowControl/>
        <w:adjustRightInd w:val="0"/>
        <w:spacing w:before="0" w:after="0" w:line="360" w:lineRule="auto"/>
        <w:jc w:val="left"/>
        <w:rPr>
          <w:rFonts w:eastAsia="黑体" w:cs="Times New Roman"/>
          <w:b w:val="0"/>
          <w:bCs w:val="0"/>
          <w:color w:val="FF0000"/>
          <w:kern w:val="0"/>
          <w:sz w:val="28"/>
          <w:szCs w:val="28"/>
        </w:rPr>
      </w:pPr>
      <w:bookmarkStart w:id="114" w:name="_Toc198652058"/>
      <w:r>
        <w:rPr>
          <w:rFonts w:eastAsia="黑体" w:cs="Times New Roman"/>
          <w:b w:val="0"/>
          <w:bCs w:val="0"/>
          <w:kern w:val="0"/>
          <w:sz w:val="28"/>
          <w:szCs w:val="28"/>
        </w:rPr>
        <w:t>4.</w:t>
      </w:r>
      <w:r>
        <w:rPr>
          <w:rFonts w:hint="eastAsia" w:eastAsia="黑体" w:cs="Times New Roman"/>
          <w:b w:val="0"/>
          <w:bCs w:val="0"/>
          <w:kern w:val="0"/>
          <w:sz w:val="28"/>
          <w:szCs w:val="28"/>
        </w:rPr>
        <w:t>5</w:t>
      </w:r>
      <w:r>
        <w:rPr>
          <w:rFonts w:eastAsia="黑体" w:cs="Times New Roman"/>
          <w:b w:val="0"/>
          <w:bCs w:val="0"/>
          <w:kern w:val="0"/>
          <w:sz w:val="28"/>
          <w:szCs w:val="28"/>
        </w:rPr>
        <w:t>.2</w:t>
      </w:r>
      <w:bookmarkStart w:id="115" w:name="_Hlk191565583"/>
      <w:r>
        <w:rPr>
          <w:rFonts w:eastAsia="黑体" w:cs="Times New Roman"/>
          <w:b w:val="0"/>
          <w:bCs w:val="0"/>
          <w:kern w:val="0"/>
          <w:sz w:val="28"/>
          <w:szCs w:val="28"/>
        </w:rPr>
        <w:t>农村供水保障体系</w:t>
      </w:r>
      <w:bookmarkEnd w:id="114"/>
      <w:bookmarkEnd w:id="115"/>
    </w:p>
    <w:p w14:paraId="0171487A">
      <w:pPr>
        <w:widowControl/>
        <w:adjustRightInd w:val="0"/>
        <w:ind w:firstLine="560" w:firstLineChars="200"/>
        <w:rPr>
          <w:rFonts w:cs="Times New Roman"/>
          <w:sz w:val="28"/>
          <w:szCs w:val="28"/>
        </w:rPr>
      </w:pPr>
      <w:r>
        <w:rPr>
          <w:rFonts w:hint="eastAsia" w:cs="Times New Roman"/>
          <w:sz w:val="28"/>
          <w:szCs w:val="28"/>
        </w:rPr>
        <w:t>截止到2023年底，九原区农村牧区供水工程覆盖人口123155人，全部实现供水到户，供水到户率100%。但大部分供水工程为单村供水，供水方式为定时供水，到目前九原区规模化集中供水工程（24小时供水）人口比例仅为20%。</w:t>
      </w:r>
    </w:p>
    <w:p w14:paraId="7FEF7642">
      <w:pPr>
        <w:widowControl/>
        <w:adjustRightInd w:val="0"/>
        <w:ind w:firstLine="560" w:firstLineChars="200"/>
        <w:rPr>
          <w:rFonts w:cs="Times New Roman"/>
          <w:sz w:val="28"/>
          <w:szCs w:val="28"/>
        </w:rPr>
      </w:pPr>
      <w:r>
        <w:rPr>
          <w:rFonts w:hint="eastAsia" w:cs="Times New Roman"/>
          <w:sz w:val="28"/>
          <w:szCs w:val="28"/>
        </w:rPr>
        <w:t>九原区农村牧区供水工程现状分为规模化集中供水工程、安置小区供水工程和单村集中供水工程3种模式。已建成规模化集中供水工程有3处，为麻池集中供水工程、萨如拉集中供水工程和哈业胡同南部集中供水工程。已建成的安置小区供水工程有9处，分别为哈林格尔镇的土黑麻淖新村，萨如拉办事处的瑞丽佳园，麻池镇的向日葵小区、北新社区、阳光小区、景福家园、北滩古城小区、明天科技和神鹿社区。单村集中供水工程共72处，覆盖哈业胡同镇、阿嘎如泰苏木、哈林格尔镇、麻池镇、萨如拉街道和白音席勒街道所辖的全部自然村。</w:t>
      </w:r>
    </w:p>
    <w:p w14:paraId="54213DE0">
      <w:pPr>
        <w:widowControl/>
        <w:adjustRightInd w:val="0"/>
        <w:ind w:firstLine="562" w:firstLineChars="200"/>
        <w:rPr>
          <w:rFonts w:cs="Times New Roman"/>
          <w:b/>
          <w:bCs/>
          <w:kern w:val="0"/>
          <w:sz w:val="28"/>
          <w:szCs w:val="28"/>
        </w:rPr>
      </w:pPr>
      <w:bookmarkStart w:id="116" w:name="_Hlk191565665"/>
      <w:r>
        <w:rPr>
          <w:rFonts w:cs="Times New Roman"/>
          <w:b/>
          <w:bCs/>
          <w:kern w:val="0"/>
          <w:sz w:val="28"/>
          <w:szCs w:val="28"/>
        </w:rPr>
        <w:fldChar w:fldCharType="begin"/>
      </w:r>
      <w:r>
        <w:rPr>
          <w:rFonts w:cs="Times New Roman"/>
          <w:b/>
          <w:bCs/>
          <w:kern w:val="0"/>
          <w:sz w:val="28"/>
          <w:szCs w:val="28"/>
        </w:rPr>
        <w:instrText xml:space="preserve"> = 1 \* GB2 </w:instrText>
      </w:r>
      <w:r>
        <w:rPr>
          <w:rFonts w:cs="Times New Roman"/>
          <w:b/>
          <w:bCs/>
          <w:kern w:val="0"/>
          <w:sz w:val="28"/>
          <w:szCs w:val="28"/>
        </w:rPr>
        <w:fldChar w:fldCharType="separate"/>
      </w:r>
      <w:r>
        <w:rPr>
          <w:rFonts w:hint="eastAsia" w:ascii="宋体" w:hAnsi="宋体" w:cs="宋体"/>
          <w:b/>
          <w:bCs/>
          <w:kern w:val="0"/>
          <w:sz w:val="28"/>
          <w:szCs w:val="28"/>
        </w:rPr>
        <w:t>⑴</w:t>
      </w:r>
      <w:r>
        <w:rPr>
          <w:rFonts w:cs="Times New Roman"/>
          <w:b/>
          <w:bCs/>
          <w:kern w:val="0"/>
          <w:sz w:val="28"/>
          <w:szCs w:val="28"/>
        </w:rPr>
        <w:fldChar w:fldCharType="end"/>
      </w:r>
      <w:r>
        <w:rPr>
          <w:rFonts w:cs="Times New Roman"/>
          <w:b/>
          <w:bCs/>
          <w:kern w:val="0"/>
          <w:sz w:val="28"/>
          <w:szCs w:val="28"/>
        </w:rPr>
        <w:t>九原区哈业胡同镇南部集中供水村网改造</w:t>
      </w:r>
    </w:p>
    <w:p w14:paraId="6983EA43">
      <w:pPr>
        <w:widowControl/>
        <w:adjustRightInd w:val="0"/>
        <w:ind w:firstLine="560" w:firstLineChars="200"/>
        <w:rPr>
          <w:rFonts w:cs="Times New Roman"/>
          <w:kern w:val="0"/>
          <w:sz w:val="28"/>
          <w:szCs w:val="28"/>
        </w:rPr>
      </w:pPr>
      <w:r>
        <w:rPr>
          <w:rFonts w:cs="Times New Roman"/>
          <w:kern w:val="0"/>
          <w:sz w:val="28"/>
          <w:szCs w:val="28"/>
        </w:rPr>
        <w:t>铺设输配水管线200公里，解决44个自然村村网老旧问题。</w:t>
      </w:r>
    </w:p>
    <w:p w14:paraId="45E271AC">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2 \* GB2 </w:instrText>
      </w:r>
      <w:r>
        <w:rPr>
          <w:rFonts w:ascii="宋体" w:hAnsi="宋体" w:cs="宋体"/>
          <w:b/>
          <w:bCs/>
          <w:kern w:val="0"/>
          <w:sz w:val="28"/>
          <w:szCs w:val="28"/>
        </w:rPr>
        <w:fldChar w:fldCharType="separate"/>
      </w:r>
      <w:r>
        <w:rPr>
          <w:rFonts w:hint="eastAsia" w:ascii="宋体" w:hAnsi="宋体" w:cs="宋体"/>
          <w:b/>
          <w:bCs/>
          <w:kern w:val="0"/>
          <w:sz w:val="28"/>
          <w:szCs w:val="28"/>
        </w:rPr>
        <w:t>⑵</w:t>
      </w:r>
      <w:r>
        <w:rPr>
          <w:rFonts w:ascii="宋体" w:hAnsi="宋体" w:cs="宋体"/>
          <w:b/>
          <w:bCs/>
          <w:kern w:val="0"/>
          <w:sz w:val="28"/>
          <w:szCs w:val="28"/>
        </w:rPr>
        <w:fldChar w:fldCharType="end"/>
      </w:r>
      <w:r>
        <w:rPr>
          <w:rFonts w:ascii="宋体" w:hAnsi="宋体" w:cs="宋体"/>
          <w:b/>
          <w:bCs/>
          <w:kern w:val="0"/>
          <w:sz w:val="28"/>
          <w:szCs w:val="28"/>
        </w:rPr>
        <w:t>九原区哈业胡同北部集中供水村网改造工程</w:t>
      </w:r>
    </w:p>
    <w:p w14:paraId="143D1FE2">
      <w:pPr>
        <w:widowControl/>
        <w:adjustRightInd w:val="0"/>
        <w:ind w:firstLine="560" w:firstLineChars="200"/>
        <w:rPr>
          <w:rFonts w:cs="Times New Roman"/>
          <w:kern w:val="0"/>
          <w:sz w:val="28"/>
          <w:szCs w:val="28"/>
        </w:rPr>
      </w:pPr>
      <w:r>
        <w:rPr>
          <w:rFonts w:cs="Times New Roman"/>
          <w:kern w:val="0"/>
          <w:sz w:val="28"/>
          <w:szCs w:val="28"/>
        </w:rPr>
        <w:t>主要对列入供水范围的12个自然村村网进行更新，入户数为2672户。按照规范化建设要求，村落网配水管管材为PE100</w:t>
      </w:r>
      <w:r>
        <w:rPr>
          <w:rFonts w:hint="eastAsia" w:cs="Times New Roman"/>
          <w:kern w:val="0"/>
          <w:sz w:val="28"/>
          <w:szCs w:val="28"/>
        </w:rPr>
        <w:t>、</w:t>
      </w:r>
      <w:r>
        <w:rPr>
          <w:rFonts w:cs="Times New Roman"/>
          <w:kern w:val="0"/>
          <w:sz w:val="28"/>
          <w:szCs w:val="28"/>
        </w:rPr>
        <w:t>压力等级PN0.6</w:t>
      </w:r>
      <w:r>
        <w:rPr>
          <w:rFonts w:hint="eastAsia" w:cs="Times New Roman"/>
          <w:kern w:val="0"/>
          <w:sz w:val="28"/>
          <w:szCs w:val="28"/>
        </w:rPr>
        <w:t>、</w:t>
      </w:r>
      <w:r>
        <w:rPr>
          <w:rFonts w:cs="Times New Roman"/>
          <w:kern w:val="0"/>
          <w:sz w:val="28"/>
          <w:szCs w:val="28"/>
        </w:rPr>
        <w:t>管径de75</w:t>
      </w:r>
      <w:r>
        <w:rPr>
          <w:rFonts w:hint="eastAsia" w:cs="Times New Roman"/>
          <w:kern w:val="0"/>
          <w:sz w:val="28"/>
          <w:szCs w:val="28"/>
        </w:rPr>
        <w:t>、</w:t>
      </w:r>
      <w:r>
        <w:rPr>
          <w:rFonts w:cs="Times New Roman"/>
          <w:kern w:val="0"/>
          <w:sz w:val="28"/>
          <w:szCs w:val="28"/>
        </w:rPr>
        <w:t>长度为15296m</w:t>
      </w:r>
      <w:r>
        <w:rPr>
          <w:rFonts w:hint="eastAsia" w:cs="Times New Roman"/>
          <w:kern w:val="0"/>
          <w:sz w:val="28"/>
          <w:szCs w:val="28"/>
        </w:rPr>
        <w:t>；</w:t>
      </w:r>
      <w:r>
        <w:rPr>
          <w:rFonts w:cs="Times New Roman"/>
          <w:kern w:val="0"/>
          <w:sz w:val="28"/>
          <w:szCs w:val="28"/>
        </w:rPr>
        <w:t>管径de50</w:t>
      </w:r>
      <w:r>
        <w:rPr>
          <w:rFonts w:hint="eastAsia" w:cs="Times New Roman"/>
          <w:kern w:val="0"/>
          <w:sz w:val="28"/>
          <w:szCs w:val="28"/>
        </w:rPr>
        <w:t>、</w:t>
      </w:r>
      <w:r>
        <w:rPr>
          <w:rFonts w:cs="Times New Roman"/>
          <w:kern w:val="0"/>
          <w:sz w:val="28"/>
          <w:szCs w:val="28"/>
        </w:rPr>
        <w:t>长度为59293m</w:t>
      </w:r>
      <w:r>
        <w:rPr>
          <w:rFonts w:hint="eastAsia" w:cs="Times New Roman"/>
          <w:kern w:val="0"/>
          <w:sz w:val="28"/>
          <w:szCs w:val="28"/>
        </w:rPr>
        <w:t>、</w:t>
      </w:r>
      <w:r>
        <w:rPr>
          <w:rFonts w:cs="Times New Roman"/>
          <w:kern w:val="0"/>
          <w:sz w:val="28"/>
          <w:szCs w:val="28"/>
        </w:rPr>
        <w:t>管径de32</w:t>
      </w:r>
      <w:r>
        <w:rPr>
          <w:rFonts w:hint="eastAsia" w:cs="Times New Roman"/>
          <w:kern w:val="0"/>
          <w:sz w:val="28"/>
          <w:szCs w:val="28"/>
        </w:rPr>
        <w:t>、</w:t>
      </w:r>
      <w:r>
        <w:rPr>
          <w:rFonts w:cs="Times New Roman"/>
          <w:kern w:val="0"/>
          <w:sz w:val="28"/>
          <w:szCs w:val="28"/>
        </w:rPr>
        <w:t>长度为19100m。</w:t>
      </w:r>
    </w:p>
    <w:p w14:paraId="4471E2EF">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3 \* GB2 </w:instrText>
      </w:r>
      <w:r>
        <w:rPr>
          <w:rFonts w:ascii="宋体" w:hAnsi="宋体" w:cs="宋体"/>
          <w:b/>
          <w:bCs/>
          <w:kern w:val="0"/>
          <w:sz w:val="28"/>
          <w:szCs w:val="28"/>
        </w:rPr>
        <w:fldChar w:fldCharType="separate"/>
      </w:r>
      <w:r>
        <w:rPr>
          <w:rFonts w:hint="eastAsia" w:ascii="宋体" w:hAnsi="宋体" w:cs="宋体"/>
          <w:b/>
          <w:bCs/>
          <w:kern w:val="0"/>
          <w:sz w:val="28"/>
          <w:szCs w:val="28"/>
        </w:rPr>
        <w:t>⑶</w:t>
      </w:r>
      <w:r>
        <w:rPr>
          <w:rFonts w:ascii="宋体" w:hAnsi="宋体" w:cs="宋体"/>
          <w:b/>
          <w:bCs/>
          <w:kern w:val="0"/>
          <w:sz w:val="28"/>
          <w:szCs w:val="28"/>
        </w:rPr>
        <w:fldChar w:fldCharType="end"/>
      </w:r>
      <w:r>
        <w:rPr>
          <w:rFonts w:ascii="宋体" w:hAnsi="宋体" w:cs="宋体"/>
          <w:b/>
          <w:bCs/>
          <w:kern w:val="0"/>
          <w:sz w:val="28"/>
          <w:szCs w:val="28"/>
        </w:rPr>
        <w:t>哈林格尔镇西片集中供水保障工程</w:t>
      </w:r>
    </w:p>
    <w:p w14:paraId="31ACB230">
      <w:pPr>
        <w:widowControl/>
        <w:adjustRightInd w:val="0"/>
        <w:ind w:firstLine="560" w:firstLineChars="200"/>
        <w:rPr>
          <w:rFonts w:cs="Times New Roman"/>
          <w:kern w:val="0"/>
          <w:sz w:val="28"/>
          <w:szCs w:val="28"/>
        </w:rPr>
      </w:pPr>
      <w:r>
        <w:rPr>
          <w:rFonts w:cs="Times New Roman"/>
          <w:kern w:val="0"/>
          <w:sz w:val="28"/>
          <w:szCs w:val="28"/>
        </w:rPr>
        <w:t>铺设管道29.4km，配套附属设施</w:t>
      </w:r>
      <w:r>
        <w:rPr>
          <w:rFonts w:hint="eastAsia" w:cs="Times New Roman"/>
          <w:kern w:val="0"/>
          <w:sz w:val="28"/>
          <w:szCs w:val="28"/>
        </w:rPr>
        <w:t>。</w:t>
      </w:r>
    </w:p>
    <w:p w14:paraId="751A5E7A">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4 \* GB2 </w:instrText>
      </w:r>
      <w:r>
        <w:rPr>
          <w:rFonts w:ascii="宋体" w:hAnsi="宋体" w:cs="宋体"/>
          <w:b/>
          <w:bCs/>
          <w:kern w:val="0"/>
          <w:sz w:val="28"/>
          <w:szCs w:val="28"/>
        </w:rPr>
        <w:fldChar w:fldCharType="separate"/>
      </w:r>
      <w:r>
        <w:rPr>
          <w:rFonts w:hint="eastAsia" w:ascii="宋体" w:hAnsi="宋体" w:cs="宋体"/>
          <w:b/>
          <w:bCs/>
          <w:kern w:val="0"/>
          <w:sz w:val="28"/>
          <w:szCs w:val="28"/>
        </w:rPr>
        <w:t>⑷</w:t>
      </w:r>
      <w:r>
        <w:rPr>
          <w:rFonts w:ascii="宋体" w:hAnsi="宋体" w:cs="宋体"/>
          <w:b/>
          <w:bCs/>
          <w:kern w:val="0"/>
          <w:sz w:val="28"/>
          <w:szCs w:val="28"/>
        </w:rPr>
        <w:fldChar w:fldCharType="end"/>
      </w:r>
      <w:r>
        <w:rPr>
          <w:rFonts w:ascii="宋体" w:hAnsi="宋体" w:cs="宋体"/>
          <w:b/>
          <w:bCs/>
          <w:kern w:val="0"/>
          <w:sz w:val="28"/>
          <w:szCs w:val="28"/>
        </w:rPr>
        <w:t>哈林格尔镇北片集中供水保障工程</w:t>
      </w:r>
    </w:p>
    <w:p w14:paraId="7B5233E0">
      <w:pPr>
        <w:widowControl/>
        <w:adjustRightInd w:val="0"/>
        <w:ind w:firstLine="560" w:firstLineChars="200"/>
        <w:rPr>
          <w:rFonts w:cs="Times New Roman"/>
          <w:kern w:val="0"/>
          <w:sz w:val="28"/>
          <w:szCs w:val="28"/>
        </w:rPr>
      </w:pPr>
      <w:r>
        <w:rPr>
          <w:rFonts w:cs="Times New Roman"/>
          <w:kern w:val="0"/>
          <w:sz w:val="28"/>
          <w:szCs w:val="28"/>
        </w:rPr>
        <w:t>工程主要对水厂及输配水主管网进行建设，解决12327人的饮水安全问题。</w:t>
      </w:r>
    </w:p>
    <w:p w14:paraId="22CC9916">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5 \* GB2 </w:instrText>
      </w:r>
      <w:r>
        <w:rPr>
          <w:rFonts w:ascii="宋体" w:hAnsi="宋体" w:cs="宋体"/>
          <w:b/>
          <w:bCs/>
          <w:kern w:val="0"/>
          <w:sz w:val="28"/>
          <w:szCs w:val="28"/>
        </w:rPr>
        <w:fldChar w:fldCharType="separate"/>
      </w:r>
      <w:r>
        <w:rPr>
          <w:rFonts w:hint="eastAsia" w:ascii="宋体" w:hAnsi="宋体" w:cs="宋体"/>
          <w:b/>
          <w:bCs/>
          <w:kern w:val="0"/>
          <w:sz w:val="28"/>
          <w:szCs w:val="28"/>
        </w:rPr>
        <w:t>⑸</w:t>
      </w:r>
      <w:r>
        <w:rPr>
          <w:rFonts w:ascii="宋体" w:hAnsi="宋体" w:cs="宋体"/>
          <w:b/>
          <w:bCs/>
          <w:kern w:val="0"/>
          <w:sz w:val="28"/>
          <w:szCs w:val="28"/>
        </w:rPr>
        <w:fldChar w:fldCharType="end"/>
      </w:r>
      <w:r>
        <w:rPr>
          <w:rFonts w:ascii="宋体" w:hAnsi="宋体" w:cs="宋体"/>
          <w:b/>
          <w:bCs/>
          <w:kern w:val="0"/>
          <w:sz w:val="28"/>
          <w:szCs w:val="28"/>
        </w:rPr>
        <w:t>包头市九原区推进县域统管水厂标准化改造工程</w:t>
      </w:r>
    </w:p>
    <w:p w14:paraId="1F0C9E81">
      <w:pPr>
        <w:widowControl/>
        <w:adjustRightInd w:val="0"/>
        <w:ind w:firstLine="560" w:firstLineChars="200"/>
        <w:rPr>
          <w:rFonts w:cs="Times New Roman"/>
          <w:kern w:val="0"/>
          <w:sz w:val="28"/>
          <w:szCs w:val="28"/>
        </w:rPr>
      </w:pPr>
      <w:r>
        <w:rPr>
          <w:rFonts w:cs="Times New Roman"/>
          <w:kern w:val="0"/>
          <w:sz w:val="28"/>
          <w:szCs w:val="28"/>
        </w:rPr>
        <w:t>推进农村牧区供水工程县域统一管理，涉及麻池水厂、萨如拉水厂及哈业胡同水厂等三处水厂。</w:t>
      </w:r>
    </w:p>
    <w:p w14:paraId="77C25A4F">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6 \* GB2 </w:instrText>
      </w:r>
      <w:r>
        <w:rPr>
          <w:rFonts w:ascii="宋体" w:hAnsi="宋体" w:cs="宋体"/>
          <w:b/>
          <w:bCs/>
          <w:kern w:val="0"/>
          <w:sz w:val="28"/>
          <w:szCs w:val="28"/>
        </w:rPr>
        <w:fldChar w:fldCharType="separate"/>
      </w:r>
      <w:r>
        <w:rPr>
          <w:rFonts w:hint="eastAsia" w:ascii="宋体" w:hAnsi="宋体" w:cs="宋体"/>
          <w:b/>
          <w:bCs/>
          <w:kern w:val="0"/>
          <w:sz w:val="28"/>
          <w:szCs w:val="28"/>
        </w:rPr>
        <w:t>⑹</w:t>
      </w:r>
      <w:r>
        <w:rPr>
          <w:rFonts w:ascii="宋体" w:hAnsi="宋体" w:cs="宋体"/>
          <w:b/>
          <w:bCs/>
          <w:kern w:val="0"/>
          <w:sz w:val="28"/>
          <w:szCs w:val="28"/>
        </w:rPr>
        <w:fldChar w:fldCharType="end"/>
      </w:r>
      <w:r>
        <w:rPr>
          <w:rFonts w:ascii="宋体" w:hAnsi="宋体" w:cs="宋体"/>
          <w:b/>
          <w:bCs/>
          <w:kern w:val="0"/>
          <w:sz w:val="28"/>
          <w:szCs w:val="28"/>
        </w:rPr>
        <w:t>白音席勒接入市政管网工程</w:t>
      </w:r>
    </w:p>
    <w:p w14:paraId="2F7399AC">
      <w:pPr>
        <w:widowControl/>
        <w:adjustRightInd w:val="0"/>
        <w:ind w:firstLine="560" w:firstLineChars="200"/>
        <w:rPr>
          <w:rFonts w:cs="Times New Roman"/>
          <w:b/>
          <w:bCs/>
          <w:sz w:val="28"/>
          <w:szCs w:val="28"/>
        </w:rPr>
      </w:pPr>
      <w:r>
        <w:rPr>
          <w:rFonts w:cs="Times New Roman"/>
          <w:kern w:val="0"/>
          <w:sz w:val="28"/>
          <w:szCs w:val="28"/>
        </w:rPr>
        <w:t>铺设管道15.4km，配套附属设施</w:t>
      </w:r>
    </w:p>
    <w:p w14:paraId="6FDF5945">
      <w:pPr>
        <w:widowControl/>
        <w:adjustRightInd w:val="0"/>
        <w:ind w:firstLine="562" w:firstLineChars="200"/>
        <w:rPr>
          <w:rFonts w:hint="eastAsia" w:ascii="宋体" w:hAnsi="宋体" w:cs="宋体"/>
          <w:b/>
          <w:bCs/>
          <w:kern w:val="0"/>
          <w:sz w:val="28"/>
          <w:szCs w:val="28"/>
        </w:rPr>
      </w:pPr>
      <w:r>
        <w:rPr>
          <w:rFonts w:ascii="宋体" w:hAnsi="宋体" w:cs="宋体"/>
          <w:b/>
          <w:bCs/>
          <w:kern w:val="0"/>
          <w:sz w:val="28"/>
          <w:szCs w:val="28"/>
        </w:rPr>
        <w:fldChar w:fldCharType="begin"/>
      </w:r>
      <w:r>
        <w:rPr>
          <w:rFonts w:ascii="宋体" w:hAnsi="宋体" w:cs="宋体"/>
          <w:b/>
          <w:bCs/>
          <w:kern w:val="0"/>
          <w:sz w:val="28"/>
          <w:szCs w:val="28"/>
        </w:rPr>
        <w:instrText xml:space="preserve"> = 7 \* GB2 </w:instrText>
      </w:r>
      <w:r>
        <w:rPr>
          <w:rFonts w:ascii="宋体" w:hAnsi="宋体" w:cs="宋体"/>
          <w:b/>
          <w:bCs/>
          <w:kern w:val="0"/>
          <w:sz w:val="28"/>
          <w:szCs w:val="28"/>
        </w:rPr>
        <w:fldChar w:fldCharType="separate"/>
      </w:r>
      <w:r>
        <w:rPr>
          <w:rFonts w:hint="eastAsia" w:ascii="宋体" w:hAnsi="宋体" w:cs="宋体"/>
          <w:b/>
          <w:bCs/>
          <w:kern w:val="0"/>
          <w:sz w:val="28"/>
          <w:szCs w:val="28"/>
        </w:rPr>
        <w:t>⑺</w:t>
      </w:r>
      <w:r>
        <w:rPr>
          <w:rFonts w:ascii="宋体" w:hAnsi="宋体" w:cs="宋体"/>
          <w:b/>
          <w:bCs/>
          <w:kern w:val="0"/>
          <w:sz w:val="28"/>
          <w:szCs w:val="28"/>
        </w:rPr>
        <w:fldChar w:fldCharType="end"/>
      </w:r>
      <w:r>
        <w:rPr>
          <w:rFonts w:ascii="宋体" w:hAnsi="宋体" w:cs="宋体"/>
          <w:b/>
          <w:bCs/>
          <w:kern w:val="0"/>
          <w:sz w:val="28"/>
          <w:szCs w:val="28"/>
        </w:rPr>
        <w:t>九原区麻池镇古城村农村牧区供水保障工程</w:t>
      </w:r>
    </w:p>
    <w:p w14:paraId="4ADED04A">
      <w:pPr>
        <w:widowControl/>
        <w:adjustRightInd w:val="0"/>
        <w:ind w:firstLine="560" w:firstLineChars="200"/>
        <w:rPr>
          <w:rFonts w:cs="Times New Roman"/>
          <w:b/>
          <w:bCs/>
          <w:sz w:val="28"/>
          <w:szCs w:val="28"/>
        </w:rPr>
      </w:pPr>
      <w:r>
        <w:rPr>
          <w:rFonts w:cs="Times New Roman"/>
          <w:kern w:val="0"/>
          <w:sz w:val="28"/>
          <w:szCs w:val="28"/>
        </w:rPr>
        <w:t>新建22.5m²井1座，配套潜水泵1套、20kw远程自动控制变频柜1套，安装电磁流量计1套、压力传感器1套、次氯酸钠发生器1套，铺设输配水管网20054m(PE管)</w:t>
      </w:r>
      <w:r>
        <w:rPr>
          <w:rFonts w:hint="eastAsia" w:cs="Times New Roman"/>
          <w:kern w:val="0"/>
          <w:sz w:val="28"/>
          <w:szCs w:val="28"/>
        </w:rPr>
        <w:t>，</w:t>
      </w:r>
      <w:r>
        <w:rPr>
          <w:rFonts w:cs="Times New Roman"/>
          <w:kern w:val="0"/>
          <w:sz w:val="28"/>
          <w:szCs w:val="28"/>
        </w:rPr>
        <w:t>安装智能电子水表648套。</w:t>
      </w:r>
    </w:p>
    <w:bookmarkEnd w:id="116"/>
    <w:p w14:paraId="25853908">
      <w:pPr>
        <w:adjustRightInd w:val="0"/>
        <w:spacing w:line="240" w:lineRule="auto"/>
        <w:jc w:val="center"/>
        <w:rPr>
          <w:rFonts w:cs="Times New Roman"/>
          <w:b/>
          <w:sz w:val="28"/>
        </w:rPr>
      </w:pPr>
      <w:r>
        <w:rPr>
          <w:rFonts w:cs="Times New Roman"/>
          <w:b/>
          <w:sz w:val="28"/>
        </w:rPr>
        <w:t>专栏</w:t>
      </w:r>
      <w:r>
        <w:rPr>
          <w:rFonts w:hint="eastAsia" w:cs="Times New Roman"/>
          <w:b/>
          <w:sz w:val="28"/>
        </w:rPr>
        <w:t>4</w:t>
      </w:r>
      <w:r>
        <w:rPr>
          <w:rFonts w:cs="Times New Roman"/>
          <w:b/>
          <w:sz w:val="28"/>
        </w:rPr>
        <w:t>-</w:t>
      </w:r>
      <w:r>
        <w:rPr>
          <w:rFonts w:hint="eastAsia" w:cs="Times New Roman"/>
          <w:b/>
          <w:sz w:val="28"/>
        </w:rPr>
        <w:t xml:space="preserve">1 </w:t>
      </w:r>
      <w:r>
        <w:rPr>
          <w:rFonts w:cs="Times New Roman"/>
          <w:b/>
          <w:sz w:val="28"/>
        </w:rPr>
        <w:t xml:space="preserve"> 城乡供水一体化建设工程</w:t>
      </w:r>
    </w:p>
    <w:p w14:paraId="56CA5EC8">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cs="Times New Roman"/>
          <w:b/>
          <w:bCs/>
          <w:szCs w:val="24"/>
        </w:rPr>
        <w:t>01城市供水安全保障工程</w:t>
      </w:r>
    </w:p>
    <w:p w14:paraId="589C907B">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主城区供水管网延伸工程。主城区供水管网向阿嘎如泰苏木、哈业胡同镇延伸，分别建设主管网14.25km、34.04km。规划在2031~2035年建设完成。</w:t>
      </w:r>
    </w:p>
    <w:p w14:paraId="073255B7">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cs="Times New Roman"/>
          <w:b/>
          <w:bCs/>
          <w:szCs w:val="24"/>
        </w:rPr>
        <w:t>02城市供水安全保障工程农村牧区饮水安全保障</w:t>
      </w:r>
    </w:p>
    <w:p w14:paraId="1EC7259D">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①</w:t>
      </w:r>
      <w:r>
        <w:rPr>
          <w:rFonts w:cs="Times New Roman"/>
          <w:b/>
          <w:bCs/>
          <w:szCs w:val="24"/>
        </w:rPr>
        <w:t>九原区哈业胡同镇南部集中供水村网改造</w:t>
      </w:r>
    </w:p>
    <w:p w14:paraId="58FAB52D">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铺设输配水管线200公里，解决44个自然村村网老旧问题。</w:t>
      </w:r>
    </w:p>
    <w:p w14:paraId="25056195">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②</w:t>
      </w:r>
      <w:r>
        <w:rPr>
          <w:rFonts w:cs="Times New Roman"/>
          <w:b/>
          <w:bCs/>
          <w:szCs w:val="24"/>
        </w:rPr>
        <w:t>九原区哈业胡同北部集中供水村网改造工程</w:t>
      </w:r>
    </w:p>
    <w:p w14:paraId="5A7D49A0">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主要对列入供水范围的12个自然村村网进行更新，入户数为2672户。按照规范化建设要求，村落网配水管管材为PE100,压力等级PN0.6,管径de75,长度为15296m,管径de50,长度为59293m,管径de32,长度为19100m。</w:t>
      </w:r>
    </w:p>
    <w:p w14:paraId="137E5752">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③</w:t>
      </w:r>
      <w:r>
        <w:rPr>
          <w:rFonts w:cs="Times New Roman"/>
          <w:b/>
          <w:bCs/>
          <w:szCs w:val="24"/>
        </w:rPr>
        <w:t>哈林格尔镇西片集中供水保障工程</w:t>
      </w:r>
    </w:p>
    <w:p w14:paraId="70E8903F">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铺设管道29.4km，配套附属设施</w:t>
      </w:r>
    </w:p>
    <w:p w14:paraId="24F2A837">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④</w:t>
      </w:r>
      <w:r>
        <w:rPr>
          <w:rFonts w:cs="Times New Roman"/>
          <w:b/>
          <w:bCs/>
          <w:szCs w:val="24"/>
        </w:rPr>
        <w:t>哈林格尔镇北片集中供水保障工程</w:t>
      </w:r>
    </w:p>
    <w:p w14:paraId="0C2C0C0B">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工程主要对水厂及输配水主管网进行建设，解决12327人的饮水安全问题。</w:t>
      </w:r>
    </w:p>
    <w:p w14:paraId="10D6AF1B">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⑤</w:t>
      </w:r>
      <w:r>
        <w:rPr>
          <w:rFonts w:cs="Times New Roman"/>
          <w:b/>
          <w:bCs/>
          <w:szCs w:val="24"/>
        </w:rPr>
        <w:t>包头市九原区推进县域统管水厂标准化改造工程</w:t>
      </w:r>
    </w:p>
    <w:p w14:paraId="17085FA0">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推进农村牧区供水工程县域统一管理，涉及麻池水厂、萨如拉水厂及哈业胡同水厂等三处水厂。</w:t>
      </w:r>
    </w:p>
    <w:p w14:paraId="3749352C">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⑥</w:t>
      </w:r>
      <w:r>
        <w:rPr>
          <w:rFonts w:cs="Times New Roman"/>
          <w:b/>
          <w:bCs/>
          <w:szCs w:val="24"/>
        </w:rPr>
        <w:t>白音席勒接入市政管网工程</w:t>
      </w:r>
    </w:p>
    <w:p w14:paraId="0E89ADBB">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铺设管道15.4km，配套附属设施</w:t>
      </w:r>
    </w:p>
    <w:p w14:paraId="52DAA31E">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szCs w:val="24"/>
        </w:rPr>
      </w:pPr>
      <w:r>
        <w:rPr>
          <w:rFonts w:ascii="Cambria Math" w:hAnsi="Cambria Math" w:cs="Cambria Math"/>
          <w:b/>
          <w:bCs/>
          <w:szCs w:val="24"/>
        </w:rPr>
        <w:t>⑦</w:t>
      </w:r>
      <w:r>
        <w:rPr>
          <w:rFonts w:cs="Times New Roman"/>
          <w:b/>
          <w:bCs/>
          <w:szCs w:val="24"/>
        </w:rPr>
        <w:t>九原区麻池镇古城村农村牧区供水保障工程</w:t>
      </w:r>
    </w:p>
    <w:p w14:paraId="76FDF1CE">
      <w:pPr>
        <w:widowControl/>
        <w:pBdr>
          <w:top w:val="single" w:color="auto" w:sz="4" w:space="1"/>
          <w:left w:val="single" w:color="auto" w:sz="4" w:space="4"/>
          <w:bottom w:val="single" w:color="auto" w:sz="4" w:space="1"/>
          <w:right w:val="single" w:color="auto" w:sz="4" w:space="4"/>
        </w:pBdr>
        <w:adjustRightInd w:val="0"/>
        <w:ind w:firstLine="480" w:firstLineChars="200"/>
        <w:rPr>
          <w:rFonts w:cs="Times New Roman"/>
          <w:szCs w:val="24"/>
        </w:rPr>
      </w:pPr>
      <w:r>
        <w:rPr>
          <w:rFonts w:cs="Times New Roman"/>
          <w:szCs w:val="24"/>
        </w:rPr>
        <w:t>新建22.5m²井1座，配套潜水泵1套、20kw远程自动控制变频柜1套，安装电磁流量计1套、压力传感器1套、次氯酸钠发生器1套，铺设输配水管网20054m(PE管),安装智能电子水表648套。</w:t>
      </w:r>
    </w:p>
    <w:p w14:paraId="3E89C4D9">
      <w:pPr>
        <w:pStyle w:val="3"/>
        <w:widowControl/>
        <w:adjustRightInd w:val="0"/>
        <w:spacing w:before="156" w:beforeLines="50" w:after="0" w:line="360" w:lineRule="auto"/>
        <w:jc w:val="left"/>
        <w:rPr>
          <w:rFonts w:ascii="Times New Roman" w:hAnsi="Times New Roman" w:eastAsia="黑体" w:cs="Times New Roman"/>
          <w:b w:val="0"/>
          <w:bCs w:val="0"/>
          <w:kern w:val="0"/>
          <w:sz w:val="28"/>
          <w:szCs w:val="28"/>
        </w:rPr>
      </w:pPr>
      <w:bookmarkStart w:id="117" w:name="_Toc198652059"/>
      <w:bookmarkStart w:id="118" w:name="_Toc109750829"/>
      <w:bookmarkStart w:id="119" w:name="_Toc127266582"/>
      <w:bookmarkStart w:id="120" w:name="_Hlk135072672"/>
      <w:r>
        <w:rPr>
          <w:rFonts w:hint="eastAsia" w:ascii="Times New Roman" w:hAnsi="Times New Roman" w:eastAsia="黑体" w:cs="Times New Roman"/>
          <w:b w:val="0"/>
          <w:bCs w:val="0"/>
          <w:kern w:val="0"/>
          <w:sz w:val="28"/>
          <w:szCs w:val="28"/>
        </w:rPr>
        <w:t>4.6</w:t>
      </w:r>
      <w:bookmarkStart w:id="121" w:name="OLE_LINK5"/>
      <w:r>
        <w:rPr>
          <w:rFonts w:ascii="Times New Roman" w:hAnsi="Times New Roman" w:eastAsia="黑体" w:cs="Times New Roman"/>
          <w:b w:val="0"/>
          <w:bCs w:val="0"/>
          <w:kern w:val="0"/>
          <w:sz w:val="28"/>
          <w:szCs w:val="28"/>
        </w:rPr>
        <w:t>完善深度节水控水体系</w:t>
      </w:r>
      <w:bookmarkEnd w:id="117"/>
    </w:p>
    <w:bookmarkEnd w:id="121"/>
    <w:p w14:paraId="4651985E">
      <w:pPr>
        <w:pStyle w:val="4"/>
        <w:widowControl/>
        <w:adjustRightInd w:val="0"/>
        <w:spacing w:before="0" w:after="0" w:line="360" w:lineRule="auto"/>
        <w:jc w:val="left"/>
        <w:rPr>
          <w:rFonts w:eastAsia="黑体" w:cs="Times New Roman"/>
          <w:b w:val="0"/>
          <w:bCs w:val="0"/>
          <w:kern w:val="0"/>
          <w:sz w:val="28"/>
          <w:szCs w:val="28"/>
        </w:rPr>
      </w:pPr>
      <w:bookmarkStart w:id="122" w:name="_Toc198652060"/>
      <w:r>
        <w:rPr>
          <w:rFonts w:hint="eastAsia" w:eastAsia="黑体" w:cs="Times New Roman"/>
          <w:b w:val="0"/>
          <w:bCs w:val="0"/>
          <w:kern w:val="0"/>
          <w:sz w:val="28"/>
          <w:szCs w:val="28"/>
        </w:rPr>
        <w:t>4.6</w:t>
      </w:r>
      <w:r>
        <w:rPr>
          <w:rFonts w:eastAsia="黑体" w:cs="Times New Roman"/>
          <w:b w:val="0"/>
          <w:bCs w:val="0"/>
          <w:kern w:val="0"/>
          <w:sz w:val="28"/>
          <w:szCs w:val="28"/>
        </w:rPr>
        <w:t>.1基本思路</w:t>
      </w:r>
      <w:bookmarkEnd w:id="122"/>
    </w:p>
    <w:p w14:paraId="434F1854">
      <w:pPr>
        <w:widowControl/>
        <w:adjustRightInd w:val="0"/>
        <w:ind w:firstLine="560" w:firstLineChars="200"/>
        <w:rPr>
          <w:rFonts w:cs="Times New Roman"/>
          <w:sz w:val="28"/>
          <w:szCs w:val="28"/>
        </w:rPr>
      </w:pPr>
      <w:r>
        <w:rPr>
          <w:rFonts w:cs="Times New Roman"/>
          <w:sz w:val="28"/>
          <w:szCs w:val="28"/>
        </w:rPr>
        <w:t>贯彻落实资源全面节约战略，持续实施《国家节水行动方案》、《内蒙古自治区节水行动方案》，把节水作为当前一段时期</w:t>
      </w:r>
      <w:r>
        <w:rPr>
          <w:rFonts w:hint="eastAsia" w:cs="Times New Roman"/>
          <w:sz w:val="28"/>
          <w:szCs w:val="28"/>
        </w:rPr>
        <w:t>九原区</w:t>
      </w:r>
      <w:r>
        <w:rPr>
          <w:rFonts w:cs="Times New Roman"/>
          <w:sz w:val="28"/>
          <w:szCs w:val="28"/>
        </w:rPr>
        <w:t>解决水资源短缺问题的重要出路。对标黄河流域具有相同发展特性及水资源禀赋条件的</w:t>
      </w:r>
      <w:r>
        <w:rPr>
          <w:rFonts w:hint="eastAsia" w:cs="Times New Roman"/>
          <w:sz w:val="28"/>
          <w:szCs w:val="28"/>
        </w:rPr>
        <w:t>旗县区</w:t>
      </w:r>
      <w:r>
        <w:rPr>
          <w:rFonts w:cs="Times New Roman"/>
          <w:sz w:val="28"/>
          <w:szCs w:val="28"/>
        </w:rPr>
        <w:t>，明确</w:t>
      </w:r>
      <w:r>
        <w:rPr>
          <w:rFonts w:hint="eastAsia" w:cs="Times New Roman"/>
          <w:sz w:val="28"/>
          <w:szCs w:val="28"/>
        </w:rPr>
        <w:t>九原区</w:t>
      </w:r>
      <w:r>
        <w:rPr>
          <w:rFonts w:cs="Times New Roman"/>
          <w:sz w:val="28"/>
          <w:szCs w:val="28"/>
        </w:rPr>
        <w:t>节水定位与目标，测算农业、工业及城镇综合生活节水潜力，因地制宜确定节水措施，通过制度节水、模式节水、机制节水、工程节水、管理节水，促进全</w:t>
      </w:r>
      <w:r>
        <w:rPr>
          <w:rFonts w:hint="eastAsia" w:cs="Times New Roman"/>
          <w:sz w:val="28"/>
          <w:szCs w:val="28"/>
        </w:rPr>
        <w:t>区</w:t>
      </w:r>
      <w:r>
        <w:rPr>
          <w:rFonts w:cs="Times New Roman"/>
          <w:sz w:val="28"/>
          <w:szCs w:val="28"/>
        </w:rPr>
        <w:t>水资源集约节约安全利用。</w:t>
      </w:r>
    </w:p>
    <w:p w14:paraId="4C65219C">
      <w:pPr>
        <w:pStyle w:val="4"/>
        <w:widowControl/>
        <w:adjustRightInd w:val="0"/>
        <w:spacing w:before="0" w:after="0" w:line="360" w:lineRule="auto"/>
        <w:jc w:val="left"/>
        <w:rPr>
          <w:rFonts w:eastAsia="黑体" w:cs="Times New Roman"/>
          <w:b w:val="0"/>
          <w:bCs w:val="0"/>
          <w:kern w:val="0"/>
          <w:sz w:val="28"/>
          <w:szCs w:val="28"/>
        </w:rPr>
      </w:pPr>
      <w:bookmarkStart w:id="123" w:name="_Toc198652061"/>
      <w:r>
        <w:rPr>
          <w:rFonts w:hint="eastAsia" w:eastAsia="黑体" w:cs="Times New Roman"/>
          <w:b w:val="0"/>
          <w:bCs w:val="0"/>
          <w:kern w:val="0"/>
          <w:sz w:val="28"/>
          <w:szCs w:val="28"/>
        </w:rPr>
        <w:t>4.6.2</w:t>
      </w:r>
      <w:r>
        <w:rPr>
          <w:rFonts w:eastAsia="黑体" w:cs="Times New Roman"/>
          <w:b w:val="0"/>
          <w:bCs w:val="0"/>
          <w:kern w:val="0"/>
          <w:sz w:val="28"/>
          <w:szCs w:val="28"/>
        </w:rPr>
        <w:t>节水</w:t>
      </w:r>
      <w:r>
        <w:rPr>
          <w:rFonts w:hint="eastAsia" w:eastAsia="黑体" w:cs="Times New Roman"/>
          <w:b w:val="0"/>
          <w:bCs w:val="0"/>
          <w:kern w:val="0"/>
          <w:sz w:val="28"/>
          <w:szCs w:val="28"/>
        </w:rPr>
        <w:t>定位与</w:t>
      </w:r>
      <w:r>
        <w:rPr>
          <w:rFonts w:eastAsia="黑体" w:cs="Times New Roman"/>
          <w:b w:val="0"/>
          <w:bCs w:val="0"/>
          <w:kern w:val="0"/>
          <w:sz w:val="28"/>
          <w:szCs w:val="28"/>
        </w:rPr>
        <w:t>目标</w:t>
      </w:r>
      <w:bookmarkEnd w:id="123"/>
    </w:p>
    <w:p w14:paraId="5EC7485E">
      <w:pPr>
        <w:widowControl/>
        <w:adjustRightInd w:val="0"/>
        <w:ind w:firstLine="560" w:firstLineChars="200"/>
        <w:rPr>
          <w:rFonts w:cs="Times New Roman"/>
          <w:sz w:val="28"/>
          <w:szCs w:val="28"/>
        </w:rPr>
      </w:pPr>
      <w:r>
        <w:rPr>
          <w:rFonts w:cs="Times New Roman"/>
          <w:sz w:val="28"/>
          <w:szCs w:val="28"/>
        </w:rPr>
        <w:t>节水是解决</w:t>
      </w:r>
      <w:r>
        <w:rPr>
          <w:rFonts w:hint="eastAsia" w:cs="Times New Roman"/>
          <w:sz w:val="28"/>
          <w:szCs w:val="28"/>
        </w:rPr>
        <w:t>九原区</w:t>
      </w:r>
      <w:r>
        <w:rPr>
          <w:rFonts w:cs="Times New Roman"/>
          <w:sz w:val="28"/>
          <w:szCs w:val="28"/>
        </w:rPr>
        <w:t>水资源短缺和提高水资源承载能力的重要举措，必须坚持“节水优先”治水思路，以水而定、量水而行，严格用水全过程管理，推进重点领域节水和非常规水利用，从观念、意识、措施等方面把节水放在优先位置。</w:t>
      </w:r>
    </w:p>
    <w:p w14:paraId="1E30312A">
      <w:pPr>
        <w:widowControl/>
        <w:adjustRightInd w:val="0"/>
        <w:ind w:firstLine="56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节水定位</w:t>
      </w:r>
    </w:p>
    <w:p w14:paraId="39DAEB21">
      <w:pPr>
        <w:widowControl/>
        <w:adjustRightInd w:val="0"/>
        <w:ind w:firstLine="560" w:firstLineChars="200"/>
        <w:rPr>
          <w:rFonts w:cs="Times New Roman"/>
          <w:sz w:val="28"/>
          <w:szCs w:val="28"/>
        </w:rPr>
      </w:pPr>
      <w:r>
        <w:rPr>
          <w:rFonts w:cs="Times New Roman"/>
          <w:sz w:val="28"/>
          <w:szCs w:val="28"/>
        </w:rPr>
        <w:t>节约用水作为一项基本国策，是</w:t>
      </w:r>
      <w:r>
        <w:rPr>
          <w:rFonts w:hint="eastAsia" w:cs="Times New Roman"/>
          <w:sz w:val="28"/>
          <w:szCs w:val="28"/>
        </w:rPr>
        <w:t>九原区</w:t>
      </w:r>
      <w:r>
        <w:rPr>
          <w:rFonts w:cs="Times New Roman"/>
          <w:sz w:val="28"/>
          <w:szCs w:val="28"/>
        </w:rPr>
        <w:t>实现降耗减排的源头措施，是保护绿水青山的必然选择。深入贯彻落实“节水优先”治水思路，结合包头实际情况，明确节水定位。</w:t>
      </w:r>
    </w:p>
    <w:p w14:paraId="1E7B26C9">
      <w:pPr>
        <w:widowControl/>
        <w:adjustRightInd w:val="0"/>
        <w:ind w:firstLine="560" w:firstLineChars="200"/>
        <w:rPr>
          <w:rFonts w:cs="Times New Roman"/>
          <w:sz w:val="28"/>
          <w:szCs w:val="28"/>
        </w:rPr>
      </w:pPr>
      <w:r>
        <w:rPr>
          <w:rFonts w:hint="eastAsia" w:cs="Times New Roman"/>
          <w:sz w:val="28"/>
          <w:szCs w:val="28"/>
        </w:rPr>
        <w:t>九原区</w:t>
      </w:r>
      <w:r>
        <w:rPr>
          <w:rFonts w:cs="Times New Roman"/>
          <w:sz w:val="28"/>
          <w:szCs w:val="28"/>
        </w:rPr>
        <w:t>地处黄河流域干旱半干旱地区，积极开展节水社会建设，并不是限制人民的生活水平，而是通过工程、制度与政策上调整用水结构的变化，提高全民的节约用水意识，从水量上遏制需水的过快增长，不断提高</w:t>
      </w:r>
      <w:r>
        <w:rPr>
          <w:rFonts w:hint="eastAsia" w:cs="Times New Roman"/>
          <w:sz w:val="28"/>
          <w:szCs w:val="28"/>
        </w:rPr>
        <w:t>九原区</w:t>
      </w:r>
      <w:r>
        <w:rPr>
          <w:rFonts w:cs="Times New Roman"/>
          <w:sz w:val="28"/>
          <w:szCs w:val="28"/>
        </w:rPr>
        <w:t>的水资源承载能力，从而保证</w:t>
      </w:r>
      <w:r>
        <w:rPr>
          <w:rFonts w:hint="eastAsia" w:cs="Times New Roman"/>
          <w:sz w:val="28"/>
          <w:szCs w:val="28"/>
        </w:rPr>
        <w:t>九原区</w:t>
      </w:r>
      <w:r>
        <w:rPr>
          <w:rFonts w:cs="Times New Roman"/>
          <w:sz w:val="28"/>
          <w:szCs w:val="28"/>
        </w:rPr>
        <w:t>社会经济实现可持续发展。</w:t>
      </w:r>
    </w:p>
    <w:p w14:paraId="758B9FAB">
      <w:pPr>
        <w:widowControl/>
        <w:adjustRightInd w:val="0"/>
        <w:ind w:firstLine="560" w:firstLineChars="200"/>
        <w:rPr>
          <w:rFonts w:cs="Times New Roman"/>
          <w:sz w:val="28"/>
          <w:szCs w:val="28"/>
        </w:rPr>
      </w:pPr>
      <w:r>
        <w:rPr>
          <w:rFonts w:hint="eastAsia" w:cs="Times New Roman"/>
          <w:sz w:val="28"/>
          <w:szCs w:val="28"/>
        </w:rPr>
        <w:t>九原区</w:t>
      </w:r>
      <w:r>
        <w:rPr>
          <w:rFonts w:cs="Times New Roman"/>
          <w:sz w:val="28"/>
          <w:szCs w:val="28"/>
        </w:rPr>
        <w:t>节水水平与先进水平相比还有一定差距。《</w:t>
      </w:r>
      <w:r>
        <w:rPr>
          <w:rFonts w:hint="eastAsia" w:cs="Times New Roman"/>
          <w:sz w:val="28"/>
          <w:szCs w:val="28"/>
        </w:rPr>
        <w:t>包头市</w:t>
      </w:r>
      <w:r>
        <w:rPr>
          <w:rFonts w:cs="Times New Roman"/>
          <w:sz w:val="28"/>
          <w:szCs w:val="28"/>
        </w:rPr>
        <w:t>水网建设规划》提出，根据</w:t>
      </w:r>
      <w:r>
        <w:rPr>
          <w:rFonts w:hint="eastAsia" w:cs="Times New Roman"/>
          <w:sz w:val="28"/>
          <w:szCs w:val="28"/>
        </w:rPr>
        <w:t>九原区</w:t>
      </w:r>
      <w:r>
        <w:rPr>
          <w:rFonts w:cs="Times New Roman"/>
          <w:sz w:val="28"/>
          <w:szCs w:val="28"/>
        </w:rPr>
        <w:t>打造黄河流域生态保护和高质量发展先行区的发展定位，严格实行用水总量控制和定额管理，强化节水指标刚性约束，深入做好用水总量和强度双控工作。统筹推进农业节水增效、工业节水减排、城镇节水降损，进一步加大非常规水源利用。到2035年，</w:t>
      </w:r>
      <w:r>
        <w:rPr>
          <w:rFonts w:hint="eastAsia" w:cs="Times New Roman"/>
          <w:sz w:val="28"/>
          <w:szCs w:val="28"/>
        </w:rPr>
        <w:t>九原区</w:t>
      </w:r>
      <w:r>
        <w:rPr>
          <w:rFonts w:cs="Times New Roman"/>
          <w:sz w:val="28"/>
          <w:szCs w:val="28"/>
        </w:rPr>
        <w:t>节水水平达到黄河流域地级城市先进水平，万元GDP用水量达到黄河流域地级城市领先水平，节水型社会建设取得明显成效。</w:t>
      </w:r>
    </w:p>
    <w:p w14:paraId="08795B3C">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节水目标</w:t>
      </w:r>
    </w:p>
    <w:p w14:paraId="32ADC6DE">
      <w:pPr>
        <w:widowControl/>
        <w:adjustRightInd w:val="0"/>
        <w:ind w:firstLine="560" w:firstLineChars="200"/>
        <w:rPr>
          <w:rFonts w:cs="Times New Roman"/>
          <w:sz w:val="28"/>
          <w:szCs w:val="28"/>
        </w:rPr>
      </w:pPr>
      <w:r>
        <w:rPr>
          <w:rFonts w:cs="Times New Roman"/>
          <w:sz w:val="28"/>
          <w:szCs w:val="28"/>
        </w:rPr>
        <w:t>在现状节水水平对比分析的基础上，提出下步节水的模式方向，制定2035年深度节水控水目标。到2035年，节水政策法规、体制机制和技术标准体系日趋完善，用水方式向节约集约转变稳步推进，节约用水基础设施短板和监管能力弱项明显改善，水资源利用效率和效益明显提高。</w:t>
      </w:r>
    </w:p>
    <w:p w14:paraId="4FB303B8">
      <w:pPr>
        <w:adjustRightInd w:val="0"/>
        <w:spacing w:line="240" w:lineRule="auto"/>
        <w:jc w:val="center"/>
        <w:rPr>
          <w:b/>
          <w:bCs/>
        </w:rPr>
      </w:pPr>
      <w:r>
        <w:rPr>
          <w:b/>
          <w:bCs/>
        </w:rPr>
        <w:t>表</w:t>
      </w:r>
      <w:r>
        <w:rPr>
          <w:rFonts w:hint="eastAsia"/>
          <w:b/>
          <w:bCs/>
        </w:rPr>
        <w:t>4</w:t>
      </w:r>
      <w:r>
        <w:rPr>
          <w:b/>
          <w:bCs/>
        </w:rPr>
        <w:t>-</w:t>
      </w:r>
      <w:r>
        <w:rPr>
          <w:rFonts w:hint="eastAsia"/>
          <w:b/>
          <w:bCs/>
        </w:rPr>
        <w:t>12</w:t>
      </w:r>
      <w:r>
        <w:rPr>
          <w:b/>
          <w:bCs/>
        </w:rPr>
        <w:t xml:space="preserve"> </w:t>
      </w:r>
      <w:r>
        <w:rPr>
          <w:rFonts w:hint="eastAsia"/>
          <w:b/>
          <w:bCs/>
        </w:rPr>
        <w:t xml:space="preserve"> 九原区</w:t>
      </w:r>
      <w:r>
        <w:rPr>
          <w:b/>
          <w:bCs/>
        </w:rPr>
        <w:t>2035年预期节水目标指标</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2038"/>
        <w:gridCol w:w="1919"/>
        <w:gridCol w:w="1849"/>
        <w:gridCol w:w="1847"/>
      </w:tblGrid>
      <w:tr w14:paraId="35334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21A29837">
            <w:pPr>
              <w:widowControl/>
              <w:adjustRightInd w:val="0"/>
              <w:spacing w:line="240" w:lineRule="auto"/>
              <w:jc w:val="center"/>
              <w:rPr>
                <w:rFonts w:cs="Times New Roman"/>
                <w:szCs w:val="24"/>
              </w:rPr>
            </w:pPr>
            <w:r>
              <w:rPr>
                <w:rFonts w:cs="Times New Roman"/>
                <w:szCs w:val="24"/>
              </w:rPr>
              <w:t>类型</w:t>
            </w:r>
          </w:p>
        </w:tc>
        <w:tc>
          <w:tcPr>
            <w:tcW w:w="1196" w:type="pct"/>
            <w:vAlign w:val="center"/>
          </w:tcPr>
          <w:p w14:paraId="75B63ECF">
            <w:pPr>
              <w:widowControl/>
              <w:adjustRightInd w:val="0"/>
              <w:spacing w:line="240" w:lineRule="auto"/>
              <w:jc w:val="center"/>
              <w:rPr>
                <w:rFonts w:cs="Times New Roman"/>
                <w:szCs w:val="24"/>
              </w:rPr>
            </w:pPr>
            <w:r>
              <w:rPr>
                <w:rFonts w:cs="Times New Roman"/>
                <w:szCs w:val="24"/>
              </w:rPr>
              <w:t>万元GDP用水量较2022年下降（%）</w:t>
            </w:r>
          </w:p>
        </w:tc>
        <w:tc>
          <w:tcPr>
            <w:tcW w:w="1126" w:type="pct"/>
            <w:vAlign w:val="center"/>
          </w:tcPr>
          <w:p w14:paraId="6B947A51">
            <w:pPr>
              <w:widowControl/>
              <w:adjustRightInd w:val="0"/>
              <w:spacing w:line="240" w:lineRule="auto"/>
              <w:jc w:val="center"/>
              <w:rPr>
                <w:rFonts w:cs="Times New Roman"/>
                <w:szCs w:val="24"/>
              </w:rPr>
            </w:pPr>
            <w:r>
              <w:rPr>
                <w:rFonts w:cs="Times New Roman"/>
                <w:szCs w:val="24"/>
              </w:rPr>
              <w:t>灌溉水利用系数</w:t>
            </w:r>
          </w:p>
        </w:tc>
        <w:tc>
          <w:tcPr>
            <w:tcW w:w="1085" w:type="pct"/>
            <w:vAlign w:val="center"/>
          </w:tcPr>
          <w:p w14:paraId="3A255DA7">
            <w:pPr>
              <w:widowControl/>
              <w:adjustRightInd w:val="0"/>
              <w:spacing w:line="240" w:lineRule="auto"/>
              <w:jc w:val="center"/>
              <w:rPr>
                <w:rFonts w:cs="Times New Roman"/>
                <w:szCs w:val="24"/>
              </w:rPr>
            </w:pPr>
            <w:r>
              <w:rPr>
                <w:rFonts w:cs="Times New Roman"/>
                <w:szCs w:val="24"/>
              </w:rPr>
              <w:t>城市公共供水管网漏损率（%）</w:t>
            </w:r>
          </w:p>
        </w:tc>
        <w:tc>
          <w:tcPr>
            <w:tcW w:w="1083" w:type="pct"/>
          </w:tcPr>
          <w:p w14:paraId="46869C9F">
            <w:pPr>
              <w:widowControl/>
              <w:adjustRightInd w:val="0"/>
              <w:spacing w:line="240" w:lineRule="auto"/>
              <w:jc w:val="center"/>
              <w:rPr>
                <w:rFonts w:cs="Times New Roman"/>
                <w:szCs w:val="24"/>
              </w:rPr>
            </w:pPr>
            <w:r>
              <w:rPr>
                <w:rFonts w:cs="Times New Roman"/>
                <w:szCs w:val="24"/>
              </w:rPr>
              <w:t>城市再生水利用率（%）</w:t>
            </w:r>
          </w:p>
        </w:tc>
      </w:tr>
      <w:tr w14:paraId="59357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Align w:val="center"/>
          </w:tcPr>
          <w:p w14:paraId="0B6378C1">
            <w:pPr>
              <w:widowControl/>
              <w:adjustRightInd w:val="0"/>
              <w:spacing w:line="240" w:lineRule="auto"/>
              <w:jc w:val="center"/>
              <w:rPr>
                <w:rFonts w:cs="Times New Roman"/>
                <w:szCs w:val="24"/>
              </w:rPr>
            </w:pPr>
            <w:r>
              <w:rPr>
                <w:rFonts w:cs="Times New Roman"/>
                <w:szCs w:val="24"/>
              </w:rPr>
              <w:t>指标</w:t>
            </w:r>
          </w:p>
        </w:tc>
        <w:tc>
          <w:tcPr>
            <w:tcW w:w="1196" w:type="pct"/>
            <w:vAlign w:val="center"/>
          </w:tcPr>
          <w:p w14:paraId="021C3844">
            <w:pPr>
              <w:widowControl/>
              <w:adjustRightInd w:val="0"/>
              <w:spacing w:line="240" w:lineRule="auto"/>
              <w:jc w:val="center"/>
              <w:rPr>
                <w:rFonts w:cs="Times New Roman"/>
                <w:szCs w:val="24"/>
              </w:rPr>
            </w:pPr>
            <w:r>
              <w:rPr>
                <w:rFonts w:hint="eastAsia" w:cs="Times New Roman"/>
                <w:szCs w:val="24"/>
              </w:rPr>
              <w:t>≥20</w:t>
            </w:r>
          </w:p>
        </w:tc>
        <w:tc>
          <w:tcPr>
            <w:tcW w:w="1126" w:type="pct"/>
            <w:vAlign w:val="center"/>
          </w:tcPr>
          <w:p w14:paraId="0FA74C5E">
            <w:pPr>
              <w:widowControl/>
              <w:adjustRightInd w:val="0"/>
              <w:spacing w:line="240" w:lineRule="auto"/>
              <w:jc w:val="center"/>
              <w:rPr>
                <w:rFonts w:cs="Times New Roman"/>
                <w:szCs w:val="24"/>
              </w:rPr>
            </w:pPr>
            <w:r>
              <w:rPr>
                <w:rFonts w:hint="eastAsia" w:cs="Times New Roman"/>
                <w:szCs w:val="24"/>
              </w:rPr>
              <w:t>≥0.7</w:t>
            </w:r>
          </w:p>
        </w:tc>
        <w:tc>
          <w:tcPr>
            <w:tcW w:w="1085" w:type="pct"/>
            <w:vAlign w:val="center"/>
          </w:tcPr>
          <w:p w14:paraId="20296674">
            <w:pPr>
              <w:widowControl/>
              <w:adjustRightInd w:val="0"/>
              <w:spacing w:line="240" w:lineRule="auto"/>
              <w:jc w:val="center"/>
              <w:rPr>
                <w:rFonts w:cs="Times New Roman"/>
                <w:szCs w:val="24"/>
              </w:rPr>
            </w:pPr>
            <w:r>
              <w:rPr>
                <w:rFonts w:hint="eastAsia" w:cs="Times New Roman"/>
                <w:szCs w:val="24"/>
              </w:rPr>
              <w:t>7</w:t>
            </w:r>
          </w:p>
        </w:tc>
        <w:tc>
          <w:tcPr>
            <w:tcW w:w="1083" w:type="pct"/>
          </w:tcPr>
          <w:p w14:paraId="6F4C3260">
            <w:pPr>
              <w:widowControl/>
              <w:adjustRightInd w:val="0"/>
              <w:spacing w:line="240" w:lineRule="auto"/>
              <w:jc w:val="center"/>
              <w:rPr>
                <w:rFonts w:cs="Times New Roman"/>
                <w:szCs w:val="24"/>
              </w:rPr>
            </w:pPr>
            <w:r>
              <w:rPr>
                <w:rFonts w:hint="eastAsia" w:cs="Times New Roman"/>
                <w:szCs w:val="24"/>
              </w:rPr>
              <w:t>≥79</w:t>
            </w:r>
          </w:p>
        </w:tc>
      </w:tr>
    </w:tbl>
    <w:p w14:paraId="73F9A676">
      <w:pPr>
        <w:pStyle w:val="4"/>
        <w:widowControl/>
        <w:adjustRightInd w:val="0"/>
        <w:spacing w:before="156" w:beforeLines="50" w:after="0" w:line="360" w:lineRule="auto"/>
        <w:jc w:val="left"/>
        <w:rPr>
          <w:rFonts w:eastAsia="黑体" w:cs="Times New Roman"/>
          <w:b w:val="0"/>
          <w:bCs w:val="0"/>
          <w:kern w:val="0"/>
          <w:sz w:val="28"/>
          <w:szCs w:val="28"/>
        </w:rPr>
      </w:pPr>
      <w:bookmarkStart w:id="124" w:name="_Toc198652062"/>
      <w:r>
        <w:rPr>
          <w:rFonts w:hint="eastAsia" w:eastAsia="黑体" w:cs="Times New Roman"/>
          <w:b w:val="0"/>
          <w:bCs w:val="0"/>
          <w:kern w:val="0"/>
          <w:sz w:val="28"/>
          <w:szCs w:val="28"/>
        </w:rPr>
        <w:t>4.6.3</w:t>
      </w:r>
      <w:r>
        <w:rPr>
          <w:rFonts w:eastAsia="黑体" w:cs="Times New Roman"/>
          <w:b w:val="0"/>
          <w:bCs w:val="0"/>
          <w:kern w:val="0"/>
          <w:sz w:val="28"/>
          <w:szCs w:val="28"/>
        </w:rPr>
        <w:t>节水潜力分析</w:t>
      </w:r>
      <w:bookmarkEnd w:id="124"/>
    </w:p>
    <w:p w14:paraId="4B73F580">
      <w:pPr>
        <w:widowControl/>
        <w:adjustRightInd w:val="0"/>
        <w:ind w:firstLine="560" w:firstLineChars="200"/>
        <w:rPr>
          <w:rFonts w:cs="Times New Roman"/>
          <w:sz w:val="28"/>
          <w:szCs w:val="28"/>
        </w:rPr>
      </w:pPr>
      <w:r>
        <w:rPr>
          <w:rFonts w:cs="Times New Roman"/>
          <w:sz w:val="28"/>
          <w:szCs w:val="28"/>
        </w:rPr>
        <w:t>据</w:t>
      </w:r>
      <w:r>
        <w:rPr>
          <w:rFonts w:hint="eastAsia" w:cs="Times New Roman"/>
          <w:sz w:val="28"/>
          <w:szCs w:val="28"/>
        </w:rPr>
        <w:t>九原区</w:t>
      </w:r>
      <w:r>
        <w:rPr>
          <w:rFonts w:cs="Times New Roman"/>
          <w:sz w:val="28"/>
          <w:szCs w:val="28"/>
        </w:rPr>
        <w:t>用水实际状况，按照高质量发展的要求，严格落实节水优先，对标同类地区先进节水标准，并考虑经济社会发展水平和节水投入产出，以及节水措施可能性，按照确定的节水目标指标，测算到2035年预期可节水</w:t>
      </w:r>
      <w:r>
        <w:rPr>
          <w:rFonts w:hint="eastAsia" w:cs="Times New Roman"/>
          <w:sz w:val="28"/>
          <w:szCs w:val="28"/>
        </w:rPr>
        <w:t>569.32</w:t>
      </w:r>
      <w:r>
        <w:rPr>
          <w:rFonts w:cs="Times New Roman"/>
          <w:sz w:val="28"/>
          <w:szCs w:val="28"/>
        </w:rPr>
        <w:t>万m</w:t>
      </w:r>
      <w:r>
        <w:rPr>
          <w:rFonts w:cs="Times New Roman"/>
          <w:sz w:val="28"/>
          <w:szCs w:val="28"/>
          <w:vertAlign w:val="superscript"/>
        </w:rPr>
        <w:t>3</w:t>
      </w:r>
      <w:r>
        <w:rPr>
          <w:rFonts w:cs="Times New Roman"/>
          <w:sz w:val="28"/>
          <w:szCs w:val="28"/>
        </w:rPr>
        <w:t>。</w:t>
      </w:r>
    </w:p>
    <w:p w14:paraId="3A9E1A6C">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农业节水</w:t>
      </w:r>
    </w:p>
    <w:p w14:paraId="5E6882CA">
      <w:pPr>
        <w:widowControl/>
        <w:adjustRightInd w:val="0"/>
        <w:ind w:firstLine="560" w:firstLineChars="200"/>
        <w:rPr>
          <w:rFonts w:cs="Times New Roman"/>
          <w:sz w:val="28"/>
          <w:szCs w:val="28"/>
        </w:rPr>
      </w:pPr>
      <w:r>
        <w:rPr>
          <w:rFonts w:cs="Times New Roman"/>
          <w:sz w:val="28"/>
          <w:szCs w:val="28"/>
        </w:rPr>
        <w:t>202</w:t>
      </w:r>
      <w:r>
        <w:rPr>
          <w:rFonts w:hint="eastAsia" w:cs="Times New Roman"/>
          <w:sz w:val="28"/>
          <w:szCs w:val="28"/>
        </w:rPr>
        <w:t>3</w:t>
      </w:r>
      <w:r>
        <w:rPr>
          <w:rFonts w:cs="Times New Roman"/>
          <w:sz w:val="28"/>
          <w:szCs w:val="28"/>
        </w:rPr>
        <w:t>年</w:t>
      </w:r>
      <w:r>
        <w:rPr>
          <w:rFonts w:hint="eastAsia" w:cs="Times New Roman"/>
          <w:sz w:val="28"/>
          <w:szCs w:val="28"/>
        </w:rPr>
        <w:t>九原区</w:t>
      </w:r>
      <w:r>
        <w:rPr>
          <w:rFonts w:cs="Times New Roman"/>
          <w:sz w:val="28"/>
          <w:szCs w:val="28"/>
        </w:rPr>
        <w:t>耕地</w:t>
      </w:r>
      <w:r>
        <w:rPr>
          <w:rFonts w:hint="eastAsia" w:cs="Times New Roman"/>
          <w:sz w:val="28"/>
          <w:szCs w:val="28"/>
        </w:rPr>
        <w:t>有效</w:t>
      </w:r>
      <w:r>
        <w:rPr>
          <w:rFonts w:cs="Times New Roman"/>
          <w:sz w:val="28"/>
          <w:szCs w:val="28"/>
        </w:rPr>
        <w:t>灌溉面积为</w:t>
      </w:r>
      <w:r>
        <w:rPr>
          <w:rFonts w:hint="eastAsia" w:cs="Times New Roman"/>
          <w:sz w:val="28"/>
          <w:szCs w:val="28"/>
        </w:rPr>
        <w:t>32.86</w:t>
      </w:r>
      <w:r>
        <w:rPr>
          <w:rFonts w:cs="Times New Roman"/>
          <w:sz w:val="28"/>
          <w:szCs w:val="28"/>
        </w:rPr>
        <w:t>万亩</w:t>
      </w:r>
      <w:r>
        <w:rPr>
          <w:rFonts w:hint="eastAsia" w:cs="Times New Roman"/>
          <w:sz w:val="28"/>
          <w:szCs w:val="28"/>
        </w:rPr>
        <w:t>，灌溉取水量为6387万m</w:t>
      </w:r>
      <w:r>
        <w:rPr>
          <w:rFonts w:hint="eastAsia" w:cs="Times New Roman"/>
          <w:sz w:val="28"/>
          <w:szCs w:val="28"/>
          <w:vertAlign w:val="superscript"/>
        </w:rPr>
        <w:t>3</w:t>
      </w:r>
      <w:r>
        <w:rPr>
          <w:rFonts w:hint="eastAsia" w:cs="Times New Roman"/>
          <w:sz w:val="28"/>
          <w:szCs w:val="28"/>
        </w:rPr>
        <w:t>，亩均用水量约为194.37m</w:t>
      </w:r>
      <w:r>
        <w:rPr>
          <w:rFonts w:hint="eastAsia" w:cs="Times New Roman"/>
          <w:sz w:val="28"/>
          <w:szCs w:val="28"/>
          <w:vertAlign w:val="superscript"/>
        </w:rPr>
        <w:t>3</w:t>
      </w:r>
      <w:r>
        <w:rPr>
          <w:rFonts w:hint="eastAsia" w:cs="Times New Roman"/>
          <w:sz w:val="28"/>
          <w:szCs w:val="28"/>
        </w:rPr>
        <w:t>/亩，优于自治区同期农田亩均用水量214m</w:t>
      </w:r>
      <w:r>
        <w:rPr>
          <w:rFonts w:hint="eastAsia" w:cs="Times New Roman"/>
          <w:sz w:val="28"/>
          <w:szCs w:val="28"/>
          <w:vertAlign w:val="superscript"/>
        </w:rPr>
        <w:t>3</w:t>
      </w:r>
      <w:r>
        <w:rPr>
          <w:rFonts w:hint="eastAsia" w:cs="Times New Roman"/>
          <w:sz w:val="28"/>
          <w:szCs w:val="28"/>
        </w:rPr>
        <w:t>/亩、全国平均水平（农田亩均用水量377m</w:t>
      </w:r>
      <w:r>
        <w:rPr>
          <w:rFonts w:hint="eastAsia" w:cs="Times New Roman"/>
          <w:sz w:val="28"/>
          <w:szCs w:val="28"/>
          <w:vertAlign w:val="superscript"/>
        </w:rPr>
        <w:t>3</w:t>
      </w:r>
      <w:r>
        <w:rPr>
          <w:rFonts w:hint="eastAsia" w:cs="Times New Roman"/>
          <w:sz w:val="28"/>
          <w:szCs w:val="28"/>
        </w:rPr>
        <w:t>/亩）、西北区平均水平（农田亩均用水量468m</w:t>
      </w:r>
      <w:r>
        <w:rPr>
          <w:rFonts w:hint="eastAsia" w:cs="Times New Roman"/>
          <w:sz w:val="28"/>
          <w:szCs w:val="28"/>
          <w:vertAlign w:val="superscript"/>
        </w:rPr>
        <w:t>3</w:t>
      </w:r>
      <w:r>
        <w:rPr>
          <w:rFonts w:hint="eastAsia" w:cs="Times New Roman"/>
          <w:sz w:val="28"/>
          <w:szCs w:val="28"/>
        </w:rPr>
        <w:t>/亩），现状农田灌溉用水水平较高。</w:t>
      </w:r>
    </w:p>
    <w:p w14:paraId="6A6E6C40">
      <w:pPr>
        <w:widowControl/>
        <w:adjustRightInd w:val="0"/>
        <w:spacing w:before="156" w:beforeLines="50"/>
        <w:ind w:firstLine="560" w:firstLineChars="200"/>
        <w:rPr>
          <w:rFonts w:cs="Times New Roman"/>
          <w:sz w:val="28"/>
          <w:szCs w:val="28"/>
        </w:rPr>
      </w:pPr>
      <w:r>
        <w:rPr>
          <w:rFonts w:hint="eastAsia" w:cs="Times New Roman"/>
          <w:sz w:val="28"/>
          <w:szCs w:val="28"/>
        </w:rPr>
        <w:t>根据包头市九原区自然地理条件、流域特点，结合水资源综合利用、节水灌溉、农业发展等因素，充分考虑近年来和未来农田灌溉发展。随着农田灌排基础设施不断完善，农田灌溉管理水平显著提高等情况，综合分析得出规划年在各类节水措施及规划拟建工程全部实施条件下的农业灌溉用水定额，农田灌溉定额从现状2023</w:t>
      </w:r>
      <w:r>
        <w:rPr>
          <w:rFonts w:cs="Times New Roman"/>
          <w:sz w:val="28"/>
          <w:szCs w:val="28"/>
        </w:rPr>
        <w:t>年</w:t>
      </w:r>
      <w:r>
        <w:rPr>
          <w:rFonts w:hint="eastAsia" w:cs="Times New Roman"/>
          <w:sz w:val="28"/>
          <w:szCs w:val="28"/>
        </w:rPr>
        <w:t>194.37m</w:t>
      </w:r>
      <w:r>
        <w:rPr>
          <w:rFonts w:hint="eastAsia" w:cs="Times New Roman"/>
          <w:sz w:val="28"/>
          <w:szCs w:val="28"/>
          <w:vertAlign w:val="superscript"/>
        </w:rPr>
        <w:t>3</w:t>
      </w:r>
      <w:r>
        <w:rPr>
          <w:rFonts w:hint="eastAsia" w:cs="Times New Roman"/>
          <w:sz w:val="28"/>
          <w:szCs w:val="28"/>
        </w:rPr>
        <w:t>/亩，下降到2035</w:t>
      </w:r>
      <w:r>
        <w:rPr>
          <w:rFonts w:cs="Times New Roman"/>
          <w:sz w:val="28"/>
          <w:szCs w:val="28"/>
        </w:rPr>
        <w:t>年</w:t>
      </w:r>
      <w:r>
        <w:rPr>
          <w:rFonts w:hint="eastAsia" w:cs="Times New Roman"/>
          <w:sz w:val="28"/>
          <w:szCs w:val="28"/>
        </w:rPr>
        <w:t>185.48m</w:t>
      </w:r>
      <w:r>
        <w:rPr>
          <w:rFonts w:hint="eastAsia" w:cs="Times New Roman"/>
          <w:sz w:val="28"/>
          <w:szCs w:val="28"/>
          <w:vertAlign w:val="superscript"/>
        </w:rPr>
        <w:t>3</w:t>
      </w:r>
      <w:r>
        <w:rPr>
          <w:rFonts w:hint="eastAsia" w:cs="Times New Roman"/>
          <w:sz w:val="28"/>
          <w:szCs w:val="28"/>
        </w:rPr>
        <w:t>/亩，可节约农田灌溉用水量428.68</w:t>
      </w:r>
      <w:r>
        <w:rPr>
          <w:rFonts w:cs="Times New Roman"/>
          <w:sz w:val="28"/>
          <w:szCs w:val="28"/>
        </w:rPr>
        <w:t>万m</w:t>
      </w:r>
      <w:r>
        <w:rPr>
          <w:rFonts w:hint="eastAsia" w:cs="Times New Roman"/>
          <w:sz w:val="28"/>
          <w:szCs w:val="28"/>
          <w:vertAlign w:val="superscript"/>
        </w:rPr>
        <w:t>3</w:t>
      </w:r>
      <w:r>
        <w:rPr>
          <w:rFonts w:cs="Times New Roman"/>
          <w:sz w:val="28"/>
          <w:szCs w:val="28"/>
        </w:rPr>
        <w:t>。</w:t>
      </w:r>
    </w:p>
    <w:p w14:paraId="293BD088">
      <w:pPr>
        <w:adjustRightInd w:val="0"/>
        <w:spacing w:line="240" w:lineRule="auto"/>
        <w:jc w:val="center"/>
        <w:rPr>
          <w:b/>
          <w:bCs/>
        </w:rPr>
      </w:pPr>
      <w:r>
        <w:rPr>
          <w:rFonts w:hint="eastAsia"/>
          <w:b/>
          <w:bCs/>
        </w:rPr>
        <w:t>表4</w:t>
      </w:r>
      <w:r>
        <w:rPr>
          <w:b/>
          <w:bCs/>
        </w:rPr>
        <w:t>-</w:t>
      </w:r>
      <w:r>
        <w:rPr>
          <w:rFonts w:hint="eastAsia"/>
          <w:b/>
          <w:bCs/>
        </w:rPr>
        <w:t>13</w:t>
      </w:r>
      <w:r>
        <w:rPr>
          <w:b/>
          <w:bCs/>
        </w:rPr>
        <w:t xml:space="preserve">  </w:t>
      </w:r>
      <w:r>
        <w:rPr>
          <w:rFonts w:hint="eastAsia"/>
          <w:b/>
          <w:bCs/>
        </w:rPr>
        <w:t xml:space="preserve">九原区规划水平年第一产业用水量 </w:t>
      </w:r>
      <w:r>
        <w:rPr>
          <w:b/>
          <w:bCs/>
        </w:rPr>
        <w:t xml:space="preserve"> </w:t>
      </w:r>
      <w:r>
        <w:rPr>
          <w:rFonts w:hint="eastAsia"/>
          <w:b/>
          <w:bCs/>
        </w:rPr>
        <w:t>单位：万m</w:t>
      </w:r>
      <w:r>
        <w:rPr>
          <w:b/>
          <w:bCs/>
          <w:vertAlign w:val="superscript"/>
        </w:rPr>
        <w:t>3</w:t>
      </w:r>
      <w:r>
        <w:rPr>
          <w:b/>
          <w:bCs/>
        </w:rPr>
        <w:t>/a</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4164"/>
        <w:gridCol w:w="2228"/>
      </w:tblGrid>
      <w:tr w14:paraId="62448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0" w:type="pct"/>
            <w:shd w:val="clear" w:color="auto" w:fill="auto"/>
            <w:noWrap/>
            <w:vAlign w:val="center"/>
          </w:tcPr>
          <w:p w14:paraId="76BBBFDA">
            <w:pPr>
              <w:adjustRightInd w:val="0"/>
              <w:spacing w:line="240" w:lineRule="auto"/>
              <w:jc w:val="center"/>
              <w:rPr>
                <w:rFonts w:cs="Times New Roman"/>
                <w:b/>
                <w:bCs/>
                <w:szCs w:val="24"/>
              </w:rPr>
            </w:pPr>
            <w:r>
              <w:rPr>
                <w:rFonts w:cs="Times New Roman"/>
                <w:b/>
                <w:bCs/>
                <w:szCs w:val="24"/>
              </w:rPr>
              <w:t>水平年</w:t>
            </w:r>
          </w:p>
        </w:tc>
        <w:tc>
          <w:tcPr>
            <w:tcW w:w="2443" w:type="pct"/>
            <w:shd w:val="clear" w:color="auto" w:fill="auto"/>
            <w:noWrap/>
            <w:vAlign w:val="center"/>
          </w:tcPr>
          <w:p w14:paraId="1BBC1538">
            <w:pPr>
              <w:adjustRightInd w:val="0"/>
              <w:spacing w:line="240" w:lineRule="auto"/>
              <w:jc w:val="center"/>
              <w:rPr>
                <w:rFonts w:cs="Times New Roman"/>
                <w:b/>
                <w:bCs/>
                <w:szCs w:val="24"/>
              </w:rPr>
            </w:pPr>
            <w:r>
              <w:rPr>
                <w:rFonts w:cs="Times New Roman"/>
                <w:b/>
                <w:bCs/>
                <w:szCs w:val="24"/>
              </w:rPr>
              <w:t>农田</w:t>
            </w:r>
          </w:p>
        </w:tc>
        <w:tc>
          <w:tcPr>
            <w:tcW w:w="1307" w:type="pct"/>
            <w:shd w:val="clear" w:color="auto" w:fill="auto"/>
            <w:noWrap/>
            <w:vAlign w:val="center"/>
          </w:tcPr>
          <w:p w14:paraId="1986C51C">
            <w:pPr>
              <w:adjustRightInd w:val="0"/>
              <w:spacing w:line="240" w:lineRule="auto"/>
              <w:jc w:val="center"/>
              <w:rPr>
                <w:rFonts w:cs="Times New Roman"/>
                <w:b/>
                <w:bCs/>
                <w:szCs w:val="24"/>
              </w:rPr>
            </w:pPr>
            <w:r>
              <w:rPr>
                <w:rFonts w:cs="Times New Roman"/>
                <w:b/>
                <w:bCs/>
                <w:szCs w:val="24"/>
              </w:rPr>
              <w:t>节水潜力</w:t>
            </w:r>
          </w:p>
        </w:tc>
      </w:tr>
      <w:tr w14:paraId="410E2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0" w:type="pct"/>
            <w:shd w:val="clear" w:color="auto" w:fill="auto"/>
            <w:noWrap/>
            <w:vAlign w:val="center"/>
          </w:tcPr>
          <w:p w14:paraId="7AD889D2">
            <w:pPr>
              <w:adjustRightInd w:val="0"/>
              <w:spacing w:line="240" w:lineRule="auto"/>
              <w:jc w:val="center"/>
              <w:rPr>
                <w:rFonts w:cs="Times New Roman"/>
                <w:szCs w:val="24"/>
              </w:rPr>
            </w:pPr>
            <w:r>
              <w:rPr>
                <w:rFonts w:cs="Times New Roman"/>
                <w:szCs w:val="24"/>
              </w:rPr>
              <w:t>2023</w:t>
            </w:r>
          </w:p>
        </w:tc>
        <w:tc>
          <w:tcPr>
            <w:tcW w:w="2443" w:type="pct"/>
            <w:shd w:val="clear" w:color="auto" w:fill="auto"/>
            <w:noWrap/>
            <w:vAlign w:val="center"/>
          </w:tcPr>
          <w:p w14:paraId="602C48F4">
            <w:pPr>
              <w:adjustRightInd w:val="0"/>
              <w:spacing w:line="240" w:lineRule="auto"/>
              <w:jc w:val="center"/>
              <w:rPr>
                <w:rFonts w:cs="Times New Roman"/>
                <w:szCs w:val="24"/>
              </w:rPr>
            </w:pPr>
            <w:r>
              <w:rPr>
                <w:rFonts w:cs="Times New Roman"/>
                <w:szCs w:val="24"/>
              </w:rPr>
              <w:t>0.6</w:t>
            </w:r>
            <w:r>
              <w:rPr>
                <w:rFonts w:hint="eastAsia" w:cs="Times New Roman"/>
                <w:szCs w:val="24"/>
              </w:rPr>
              <w:t>1</w:t>
            </w:r>
          </w:p>
        </w:tc>
        <w:tc>
          <w:tcPr>
            <w:tcW w:w="1307" w:type="pct"/>
            <w:shd w:val="clear" w:color="auto" w:fill="auto"/>
            <w:noWrap/>
            <w:vAlign w:val="center"/>
          </w:tcPr>
          <w:p w14:paraId="1DF7A8A9">
            <w:pPr>
              <w:adjustRightInd w:val="0"/>
              <w:spacing w:line="240" w:lineRule="auto"/>
              <w:jc w:val="center"/>
              <w:rPr>
                <w:rFonts w:cs="Times New Roman"/>
                <w:szCs w:val="24"/>
              </w:rPr>
            </w:pPr>
            <w:r>
              <w:rPr>
                <w:rFonts w:cs="Times New Roman"/>
                <w:szCs w:val="24"/>
              </w:rPr>
              <w:t>——</w:t>
            </w:r>
          </w:p>
        </w:tc>
      </w:tr>
      <w:tr w14:paraId="6BF84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0" w:type="pct"/>
            <w:shd w:val="clear" w:color="auto" w:fill="auto"/>
            <w:noWrap/>
            <w:vAlign w:val="center"/>
          </w:tcPr>
          <w:p w14:paraId="568ACE15">
            <w:pPr>
              <w:adjustRightInd w:val="0"/>
              <w:spacing w:line="240" w:lineRule="auto"/>
              <w:jc w:val="center"/>
              <w:rPr>
                <w:rFonts w:cs="Times New Roman"/>
                <w:szCs w:val="24"/>
              </w:rPr>
            </w:pPr>
            <w:r>
              <w:rPr>
                <w:rFonts w:cs="Times New Roman"/>
                <w:szCs w:val="24"/>
              </w:rPr>
              <w:t>2035</w:t>
            </w:r>
          </w:p>
        </w:tc>
        <w:tc>
          <w:tcPr>
            <w:tcW w:w="2443" w:type="pct"/>
            <w:shd w:val="clear" w:color="auto" w:fill="auto"/>
            <w:noWrap/>
            <w:vAlign w:val="center"/>
          </w:tcPr>
          <w:p w14:paraId="2610EC06">
            <w:pPr>
              <w:adjustRightInd w:val="0"/>
              <w:spacing w:line="240" w:lineRule="auto"/>
              <w:jc w:val="center"/>
              <w:rPr>
                <w:rFonts w:cs="Times New Roman"/>
                <w:szCs w:val="24"/>
              </w:rPr>
            </w:pPr>
            <w:r>
              <w:rPr>
                <w:rFonts w:cs="Times New Roman"/>
                <w:szCs w:val="24"/>
              </w:rPr>
              <w:t>0.</w:t>
            </w:r>
            <w:r>
              <w:rPr>
                <w:rFonts w:hint="eastAsia" w:cs="Times New Roman"/>
                <w:szCs w:val="24"/>
              </w:rPr>
              <w:t>65</w:t>
            </w:r>
          </w:p>
        </w:tc>
        <w:tc>
          <w:tcPr>
            <w:tcW w:w="1307" w:type="pct"/>
            <w:shd w:val="clear" w:color="auto" w:fill="auto"/>
            <w:noWrap/>
            <w:vAlign w:val="center"/>
          </w:tcPr>
          <w:p w14:paraId="723B6756">
            <w:pPr>
              <w:adjustRightInd w:val="0"/>
              <w:spacing w:line="240" w:lineRule="auto"/>
              <w:jc w:val="center"/>
              <w:rPr>
                <w:rFonts w:cs="Times New Roman"/>
                <w:szCs w:val="24"/>
              </w:rPr>
            </w:pPr>
            <w:r>
              <w:rPr>
                <w:rFonts w:hint="eastAsia" w:cs="Times New Roman"/>
                <w:szCs w:val="24"/>
              </w:rPr>
              <w:t>428.68</w:t>
            </w:r>
          </w:p>
        </w:tc>
      </w:tr>
    </w:tbl>
    <w:p w14:paraId="2DE97421">
      <w:pPr>
        <w:widowControl/>
        <w:adjustRightInd w:val="0"/>
        <w:spacing w:before="156" w:beforeLines="5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工业节水</w:t>
      </w:r>
    </w:p>
    <w:p w14:paraId="7018D78C">
      <w:pPr>
        <w:widowControl/>
        <w:adjustRightInd w:val="0"/>
        <w:ind w:firstLine="560" w:firstLineChars="200"/>
        <w:rPr>
          <w:rFonts w:cs="Times New Roman"/>
          <w:sz w:val="28"/>
          <w:szCs w:val="28"/>
        </w:rPr>
      </w:pPr>
      <w:r>
        <w:rPr>
          <w:rFonts w:hint="eastAsia" w:cs="Times New Roman"/>
          <w:sz w:val="28"/>
          <w:szCs w:val="28"/>
        </w:rPr>
        <w:t>2023年包头市九原区万元工业增加值平均用水量12.63m</w:t>
      </w:r>
      <w:r>
        <w:rPr>
          <w:rFonts w:hint="eastAsia" w:cs="Times New Roman"/>
          <w:sz w:val="28"/>
          <w:szCs w:val="28"/>
          <w:vertAlign w:val="superscript"/>
        </w:rPr>
        <w:t>3</w:t>
      </w:r>
      <w:r>
        <w:rPr>
          <w:rFonts w:hint="eastAsia" w:cs="Times New Roman"/>
          <w:sz w:val="28"/>
          <w:szCs w:val="28"/>
        </w:rPr>
        <w:t>/万元，用水水平优于全区万元工业增加值用水量（13.65m</w:t>
      </w:r>
      <w:r>
        <w:rPr>
          <w:rFonts w:hint="eastAsia" w:cs="Times New Roman"/>
          <w:sz w:val="28"/>
          <w:szCs w:val="28"/>
          <w:vertAlign w:val="superscript"/>
        </w:rPr>
        <w:t>3</w:t>
      </w:r>
      <w:r>
        <w:rPr>
          <w:rFonts w:hint="eastAsia" w:cs="Times New Roman"/>
          <w:sz w:val="28"/>
          <w:szCs w:val="28"/>
        </w:rPr>
        <w:t>/万元）、全国万元工业增加值用水量（45.6m</w:t>
      </w:r>
      <w:r>
        <w:rPr>
          <w:rFonts w:hint="eastAsia" w:cs="Times New Roman"/>
          <w:sz w:val="28"/>
          <w:szCs w:val="28"/>
          <w:vertAlign w:val="superscript"/>
        </w:rPr>
        <w:t>3</w:t>
      </w:r>
      <w:r>
        <w:rPr>
          <w:rFonts w:hint="eastAsia" w:cs="Times New Roman"/>
          <w:sz w:val="28"/>
          <w:szCs w:val="28"/>
        </w:rPr>
        <w:t>/万元）以及西北地区万元工业增加值用水量（29.2m</w:t>
      </w:r>
      <w:r>
        <w:rPr>
          <w:rFonts w:hint="eastAsia" w:cs="Times New Roman"/>
          <w:sz w:val="28"/>
          <w:szCs w:val="28"/>
          <w:vertAlign w:val="superscript"/>
        </w:rPr>
        <w:t>3</w:t>
      </w:r>
      <w:r>
        <w:rPr>
          <w:rFonts w:hint="eastAsia" w:cs="Times New Roman"/>
          <w:sz w:val="28"/>
          <w:szCs w:val="28"/>
        </w:rPr>
        <w:t>/万元），随着工业技术水平提高，现状工业用水水平仍有待进一步提高。</w:t>
      </w:r>
    </w:p>
    <w:p w14:paraId="04121398">
      <w:pPr>
        <w:widowControl/>
        <w:adjustRightInd w:val="0"/>
        <w:ind w:firstLine="560" w:firstLineChars="200"/>
        <w:rPr>
          <w:rFonts w:cs="Times New Roman"/>
          <w:sz w:val="28"/>
          <w:szCs w:val="28"/>
        </w:rPr>
      </w:pPr>
      <w:r>
        <w:rPr>
          <w:rFonts w:hint="eastAsia" w:cs="Times New Roman"/>
          <w:sz w:val="28"/>
          <w:szCs w:val="28"/>
        </w:rPr>
        <w:t>根据《包头市国民经济和社会发展第十四个五年规划和二〇三五年远景目标纲要》，明确将以生态优先、绿色发展为导向的高质量发展新路子，生态文明建设达到更高的水平，九原区现代化建设各项事业实现新的更大发展，地区生产总值年均增速达到全区平均水平。现状年规划范围工业用水量为1420.25万m</w:t>
      </w:r>
      <w:r>
        <w:rPr>
          <w:rFonts w:hint="eastAsia" w:cs="Times New Roman"/>
          <w:sz w:val="28"/>
          <w:szCs w:val="28"/>
          <w:vertAlign w:val="superscript"/>
        </w:rPr>
        <w:t>3</w:t>
      </w:r>
      <w:r>
        <w:rPr>
          <w:rFonts w:hint="eastAsia" w:cs="Times New Roman"/>
          <w:sz w:val="28"/>
          <w:szCs w:val="28"/>
        </w:rPr>
        <w:t>，规划2035年万元工业增加值用水量较现状年有所下降，规划年用水效率达到11.43m</w:t>
      </w:r>
      <w:r>
        <w:rPr>
          <w:rFonts w:hint="eastAsia" w:cs="Times New Roman"/>
          <w:sz w:val="28"/>
          <w:szCs w:val="28"/>
          <w:vertAlign w:val="superscript"/>
        </w:rPr>
        <w:t>3</w:t>
      </w:r>
      <w:r>
        <w:rPr>
          <w:rFonts w:hint="eastAsia" w:cs="Times New Roman"/>
          <w:sz w:val="28"/>
          <w:szCs w:val="28"/>
        </w:rPr>
        <w:t>/万元，可节约工业用水量134.94万m</w:t>
      </w:r>
      <w:r>
        <w:rPr>
          <w:rFonts w:hint="eastAsia" w:cs="Times New Roman"/>
          <w:sz w:val="28"/>
          <w:szCs w:val="28"/>
          <w:vertAlign w:val="superscript"/>
        </w:rPr>
        <w:t>3</w:t>
      </w:r>
      <w:r>
        <w:rPr>
          <w:rFonts w:hint="eastAsia" w:cs="Times New Roman"/>
          <w:sz w:val="28"/>
          <w:szCs w:val="28"/>
        </w:rPr>
        <w:t>。</w:t>
      </w:r>
    </w:p>
    <w:p w14:paraId="448659E7">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cs="Times New Roman"/>
          <w:b/>
          <w:bCs/>
          <w:sz w:val="28"/>
          <w:szCs w:val="28"/>
        </w:rPr>
        <w:t>城镇综合生活节水</w:t>
      </w:r>
    </w:p>
    <w:p w14:paraId="7133C8C8">
      <w:pPr>
        <w:widowControl/>
        <w:adjustRightInd w:val="0"/>
        <w:ind w:firstLine="560" w:firstLineChars="200"/>
        <w:rPr>
          <w:rFonts w:cs="Times New Roman"/>
          <w:sz w:val="28"/>
          <w:szCs w:val="28"/>
        </w:rPr>
      </w:pPr>
      <w:r>
        <w:rPr>
          <w:rFonts w:hint="eastAsia" w:cs="Times New Roman"/>
          <w:sz w:val="28"/>
          <w:szCs w:val="28"/>
        </w:rPr>
        <w:t>现状年九原区全区城镇人均综合生活用水量为62.5L/人·d，其</w:t>
      </w:r>
      <w:r>
        <w:rPr>
          <w:rFonts w:hint="eastAsia" w:cs="Times New Roman"/>
          <w:color w:val="000000" w:themeColor="text1"/>
          <w:sz w:val="28"/>
          <w:szCs w:val="28"/>
          <w14:textFill>
            <w14:solidFill>
              <w14:schemeClr w14:val="tx1"/>
            </w14:solidFill>
          </w14:textFill>
        </w:rPr>
        <w:t>中城镇居民人均生活用水量66.4L/人·d，农村居民人均生活用水量51.5L/人·d。现</w:t>
      </w:r>
      <w:r>
        <w:rPr>
          <w:rFonts w:hint="eastAsia" w:cs="Times New Roman"/>
          <w:sz w:val="28"/>
          <w:szCs w:val="28"/>
        </w:rPr>
        <w:t>状年九原区城镇人均生活用水水平优于内蒙古自治区平均水平（91.6L/人·d），农村人均生活用水水平优于内蒙古自治区平均水平（89.6L/人·d）。根据《内蒙古自治区地方标准行业用水定额》（DB15/T385-2020）50万以下中小城市城市居民人均日生活用水量90L/d·人，农村居民生活用水定额60L/人·d，现状年城镇居民与农村居民人均生活用水量均低于内蒙古自治区用水定额值。</w:t>
      </w:r>
    </w:p>
    <w:p w14:paraId="6AAAA700">
      <w:pPr>
        <w:widowControl/>
        <w:adjustRightInd w:val="0"/>
        <w:ind w:firstLine="560" w:firstLineChars="200"/>
        <w:rPr>
          <w:rFonts w:cs="Times New Roman"/>
          <w:sz w:val="28"/>
          <w:szCs w:val="28"/>
        </w:rPr>
      </w:pPr>
      <w:r>
        <w:rPr>
          <w:rFonts w:hint="eastAsia" w:cs="Times New Roman"/>
          <w:sz w:val="28"/>
          <w:szCs w:val="28"/>
        </w:rPr>
        <w:t>结合城市供水管网更新，改造供水体系和改善城市供水管网，减少渗漏，提高城镇供水效率，适当节水。按经济社会发展后用水定额增加的规律，以及我国水资源管理制度提出的节水增效的要求。随着经济社会的发展、供水条件的改善，人均生活用水量逐步提高，但随着节水力度的</w:t>
      </w:r>
      <w:r>
        <w:rPr>
          <w:rFonts w:hint="eastAsia" w:cs="Times New Roman"/>
          <w:color w:val="000000" w:themeColor="text1"/>
          <w:sz w:val="28"/>
          <w:szCs w:val="28"/>
          <w14:textFill>
            <w14:solidFill>
              <w14:schemeClr w14:val="tx1"/>
            </w14:solidFill>
          </w14:textFill>
        </w:rPr>
        <w:t>加大，供水损失减小，管网漏损率由7.93%降至2035年的7%。规划范围现状年城镇居民生活用水量为447.15万m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，农村居民生活用水量为123.12万m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，通过供水管网改造，城镇供水管网损失由7.93%降至7%，可节水5.7万m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w:t>
      </w:r>
    </w:p>
    <w:p w14:paraId="2FD59F11">
      <w:pPr>
        <w:widowControl/>
        <w:adjustRightInd w:val="0"/>
        <w:ind w:firstLine="560" w:firstLineChars="200"/>
        <w:rPr>
          <w:rFonts w:cs="Times New Roman"/>
          <w:sz w:val="28"/>
          <w:szCs w:val="28"/>
        </w:rPr>
      </w:pPr>
      <w:r>
        <w:rPr>
          <w:rFonts w:cs="Times New Roman"/>
          <w:sz w:val="28"/>
          <w:szCs w:val="28"/>
        </w:rPr>
        <w:t>根据水利部印发的《节水型社会建设</w:t>
      </w:r>
      <w:r>
        <w:rPr>
          <w:rFonts w:hint="eastAsia" w:cs="Times New Roman"/>
          <w:sz w:val="28"/>
          <w:szCs w:val="28"/>
        </w:rPr>
        <w:t>规划</w:t>
      </w:r>
      <w:r>
        <w:rPr>
          <w:rFonts w:cs="Times New Roman"/>
          <w:sz w:val="28"/>
          <w:szCs w:val="28"/>
        </w:rPr>
        <w:t>编制导则》附件中关于节水潜力计算方法估算供水管网漏失降低节水潜力：</w:t>
      </w:r>
    </w:p>
    <w:p w14:paraId="31441084">
      <w:pPr>
        <w:widowControl/>
        <w:adjustRightInd w:val="0"/>
        <w:ind w:firstLine="560" w:firstLineChars="200"/>
        <w:rPr>
          <w:rFonts w:cs="Times New Roman"/>
          <w:sz w:val="28"/>
          <w:szCs w:val="28"/>
        </w:rPr>
      </w:pPr>
      <w:r>
        <w:rPr>
          <w:rFonts w:cs="Times New Roman"/>
          <w:sz w:val="28"/>
          <w:szCs w:val="28"/>
        </w:rPr>
        <w:object>
          <v:shape id="_x0000_i1030" o:spt="75" type="#_x0000_t75" style="height:13.4pt;width:188.45pt;" o:ole="t" filled="f" o:preferrelative="t" stroked="f" coordsize="21600,21600">
            <v:path/>
            <v:fill on="f" focussize="0,0"/>
            <v:stroke on="f" joinstyle="miter"/>
            <v:imagedata r:id="rId49" o:title=""/>
            <o:lock v:ext="edit" aspectratio="t"/>
            <w10:wrap type="none"/>
            <w10:anchorlock/>
          </v:shape>
          <o:OLEObject Type="Embed" ProgID="Equation.3" ShapeID="_x0000_i1030" DrawAspect="Content" ObjectID="_1468075730" r:id="rId48">
            <o:LockedField>false</o:LockedField>
          </o:OLEObject>
        </w:object>
      </w:r>
    </w:p>
    <w:p w14:paraId="1B3A5A6B">
      <w:pPr>
        <w:widowControl/>
        <w:adjustRightInd w:val="0"/>
        <w:ind w:firstLine="560" w:firstLineChars="200"/>
        <w:rPr>
          <w:rFonts w:cs="Times New Roman"/>
          <w:sz w:val="28"/>
          <w:szCs w:val="28"/>
        </w:rPr>
      </w:pPr>
      <w:r>
        <w:rPr>
          <w:rFonts w:cs="Times New Roman"/>
          <w:sz w:val="28"/>
          <w:szCs w:val="28"/>
        </w:rPr>
        <w:t>式中：</w:t>
      </w:r>
      <w:r>
        <w:rPr>
          <w:rFonts w:cs="Times New Roman"/>
          <w:sz w:val="28"/>
          <w:szCs w:val="28"/>
        </w:rPr>
        <w:object>
          <v:shape id="_x0000_i1031" o:spt="75" type="#_x0000_t75" style="height:13.4pt;width:36pt;" o:ole="t" filled="f" o:preferrelative="t" stroked="f" coordsize="21600,21600">
            <v:path/>
            <v:fill on="f" focussize="0,0"/>
            <v:stroke on="f" joinstyle="miter"/>
            <v:imagedata r:id="rId51" o:title=""/>
            <o:lock v:ext="edit" aspectratio="t"/>
            <w10:wrap type="none"/>
            <w10:anchorlock/>
          </v:shape>
          <o:OLEObject Type="Embed" ProgID="Equation.3" ShapeID="_x0000_i1031" DrawAspect="Content" ObjectID="_1468075731" r:id="rId50">
            <o:LockedField>false</o:LockedField>
          </o:OLEObject>
        </w:object>
      </w:r>
      <w:r>
        <w:rPr>
          <w:rFonts w:cs="Times New Roman"/>
          <w:sz w:val="28"/>
          <w:szCs w:val="28"/>
        </w:rPr>
        <w:t>－为供水管网节水潜力；</w:t>
      </w:r>
    </w:p>
    <w:p w14:paraId="28AB72C5">
      <w:pPr>
        <w:widowControl/>
        <w:adjustRightInd w:val="0"/>
        <w:ind w:firstLine="560" w:firstLineChars="200"/>
        <w:rPr>
          <w:rFonts w:cs="Times New Roman"/>
          <w:sz w:val="28"/>
          <w:szCs w:val="28"/>
        </w:rPr>
      </w:pPr>
      <w:r>
        <w:rPr>
          <w:rFonts w:cs="Times New Roman"/>
          <w:sz w:val="28"/>
          <w:szCs w:val="28"/>
        </w:rPr>
        <w:object>
          <v:shape id="_x0000_i1032" o:spt="75" type="#_x0000_t75" style="height:13.4pt;width:28.25pt;" o:ole="t" filled="f" o:preferrelative="t" stroked="f" coordsize="21600,21600">
            <v:path/>
            <v:fill on="f" focussize="0,0"/>
            <v:stroke on="f" joinstyle="miter"/>
            <v:imagedata r:id="rId53" o:title=""/>
            <o:lock v:ext="edit" aspectratio="t"/>
            <w10:wrap type="none"/>
            <w10:anchorlock/>
          </v:shape>
          <o:OLEObject Type="Embed" ProgID="Equation.3" ShapeID="_x0000_i1032" DrawAspect="Content" ObjectID="_1468075732" r:id="rId52">
            <o:LockedField>false</o:LockedField>
          </o:OLEObject>
        </w:object>
      </w:r>
      <w:r>
        <w:rPr>
          <w:rFonts w:cs="Times New Roman"/>
          <w:sz w:val="28"/>
          <w:szCs w:val="28"/>
        </w:rPr>
        <w:t>－为自来水厂供出用水量；</w:t>
      </w:r>
    </w:p>
    <w:p w14:paraId="545EB65F">
      <w:pPr>
        <w:widowControl/>
        <w:adjustRightInd w:val="0"/>
        <w:ind w:firstLine="560" w:firstLineChars="200"/>
        <w:rPr>
          <w:rFonts w:cs="Times New Roman"/>
          <w:sz w:val="28"/>
          <w:szCs w:val="28"/>
        </w:rPr>
      </w:pPr>
      <w:r>
        <w:rPr>
          <w:rFonts w:cs="Times New Roman"/>
          <w:sz w:val="28"/>
          <w:szCs w:val="28"/>
        </w:rPr>
        <w:object>
          <v:shape id="_x0000_i1033" o:spt="75" type="#_x0000_t75" style="height:13.4pt;width:13.4pt;" o:ole="t" filled="f" o:preferrelative="t" stroked="f" coordsize="21600,21600">
            <v:path/>
            <v:fill on="f" focussize="0,0"/>
            <v:stroke on="f" joinstyle="miter"/>
            <v:imagedata r:id="rId55" o:title=""/>
            <o:lock v:ext="edit" aspectratio="t"/>
            <w10:wrap type="none"/>
            <w10:anchorlock/>
          </v:shape>
          <o:OLEObject Type="Embed" ProgID="Equation.3" ShapeID="_x0000_i1033" DrawAspect="Content" ObjectID="_1468075733" r:id="rId54">
            <o:LockedField>false</o:LockedField>
          </o:OLEObject>
        </w:object>
      </w:r>
      <w:r>
        <w:rPr>
          <w:rFonts w:cs="Times New Roman"/>
          <w:sz w:val="28"/>
          <w:szCs w:val="28"/>
        </w:rPr>
        <w:t>、</w:t>
      </w:r>
      <w:r>
        <w:rPr>
          <w:rFonts w:cs="Times New Roman"/>
          <w:sz w:val="28"/>
          <w:szCs w:val="28"/>
        </w:rPr>
        <w:object>
          <v:shape id="_x0000_i1034" o:spt="75" type="#_x0000_t75" style="height:13.4pt;width:13.4pt;" o:ole="t" filled="f" o:preferrelative="t" stroked="f" coordsize="21600,21600">
            <v:path/>
            <v:fill on="f" focussize="0,0"/>
            <v:stroke on="f" joinstyle="miter"/>
            <v:imagedata r:id="rId57" o:title=""/>
            <o:lock v:ext="edit" aspectratio="t"/>
            <w10:wrap type="none"/>
            <w10:anchorlock/>
          </v:shape>
          <o:OLEObject Type="Embed" ProgID="Equation.3" ShapeID="_x0000_i1034" DrawAspect="Content" ObjectID="_1468075734" r:id="rId56">
            <o:LockedField>false</o:LockedField>
          </o:OLEObject>
        </w:object>
      </w:r>
      <w:r>
        <w:rPr>
          <w:rFonts w:cs="Times New Roman"/>
          <w:sz w:val="28"/>
          <w:szCs w:val="28"/>
        </w:rPr>
        <w:t>－分别为现状年和规划水平年的供水管网漏率。</w:t>
      </w:r>
    </w:p>
    <w:p w14:paraId="50874D4D">
      <w:pPr>
        <w:widowControl/>
        <w:adjustRightInd w:val="0"/>
        <w:ind w:firstLine="560" w:firstLineChars="200"/>
        <w:rPr>
          <w:rFonts w:cs="Times New Roman"/>
          <w:sz w:val="28"/>
          <w:szCs w:val="28"/>
        </w:rPr>
      </w:pPr>
      <w:r>
        <w:rPr>
          <w:rFonts w:cs="Times New Roman"/>
          <w:sz w:val="28"/>
          <w:szCs w:val="28"/>
        </w:rPr>
        <w:t>现状年（202</w:t>
      </w:r>
      <w:r>
        <w:rPr>
          <w:rFonts w:hint="eastAsia" w:cs="Times New Roman"/>
          <w:sz w:val="28"/>
          <w:szCs w:val="28"/>
        </w:rPr>
        <w:t>3</w:t>
      </w:r>
      <w:r>
        <w:rPr>
          <w:rFonts w:cs="Times New Roman"/>
          <w:sz w:val="28"/>
          <w:szCs w:val="28"/>
        </w:rPr>
        <w:t>年），九原区城镇供水管网漏损率为</w:t>
      </w:r>
      <w:r>
        <w:rPr>
          <w:rFonts w:hint="eastAsia" w:cs="Times New Roman"/>
          <w:sz w:val="28"/>
          <w:szCs w:val="28"/>
        </w:rPr>
        <w:t>7.93</w:t>
      </w:r>
      <w:r>
        <w:rPr>
          <w:rFonts w:cs="Times New Roman"/>
          <w:sz w:val="28"/>
          <w:szCs w:val="28"/>
        </w:rPr>
        <w:t>%，规划到20</w:t>
      </w:r>
      <w:r>
        <w:rPr>
          <w:rFonts w:hint="eastAsia" w:cs="Times New Roman"/>
          <w:sz w:val="28"/>
          <w:szCs w:val="28"/>
        </w:rPr>
        <w:t>3</w:t>
      </w:r>
      <w:r>
        <w:rPr>
          <w:rFonts w:cs="Times New Roman"/>
          <w:sz w:val="28"/>
          <w:szCs w:val="28"/>
        </w:rPr>
        <w:t>5年城镇供水管网漏损率将降低到</w:t>
      </w:r>
      <w:r>
        <w:rPr>
          <w:rFonts w:hint="eastAsia" w:cs="Times New Roman"/>
          <w:sz w:val="28"/>
          <w:szCs w:val="28"/>
        </w:rPr>
        <w:t>7</w:t>
      </w:r>
      <w:r>
        <w:rPr>
          <w:rFonts w:cs="Times New Roman"/>
          <w:sz w:val="28"/>
          <w:szCs w:val="28"/>
        </w:rPr>
        <w:t>%</w:t>
      </w:r>
      <w:r>
        <w:rPr>
          <w:rFonts w:hint="eastAsia" w:cs="Times New Roman"/>
          <w:sz w:val="28"/>
          <w:szCs w:val="28"/>
        </w:rPr>
        <w:t>。</w:t>
      </w:r>
    </w:p>
    <w:p w14:paraId="3229E508">
      <w:pPr>
        <w:widowControl/>
        <w:adjustRightInd w:val="0"/>
        <w:ind w:firstLine="560" w:firstLineChars="200"/>
        <w:rPr>
          <w:rFonts w:cs="Times New Roman"/>
          <w:sz w:val="28"/>
          <w:szCs w:val="28"/>
        </w:rPr>
      </w:pPr>
      <w:r>
        <w:rPr>
          <w:rFonts w:cs="Times New Roman"/>
          <w:sz w:val="28"/>
          <w:szCs w:val="28"/>
        </w:rPr>
        <w:t>采用上面公式，经进行计算，到20</w:t>
      </w:r>
      <w:r>
        <w:rPr>
          <w:rFonts w:hint="eastAsia" w:cs="Times New Roman"/>
          <w:sz w:val="28"/>
          <w:szCs w:val="28"/>
        </w:rPr>
        <w:t>35</w:t>
      </w:r>
      <w:r>
        <w:rPr>
          <w:rFonts w:cs="Times New Roman"/>
          <w:sz w:val="28"/>
          <w:szCs w:val="28"/>
        </w:rPr>
        <w:t>年九原区城镇供水管网漏损减少节水潜力为</w:t>
      </w:r>
      <w:r>
        <w:rPr>
          <w:rFonts w:hint="eastAsia" w:cs="Times New Roman"/>
          <w:sz w:val="28"/>
          <w:szCs w:val="28"/>
        </w:rPr>
        <w:t>5.7</w:t>
      </w:r>
      <w:r>
        <w:rPr>
          <w:rFonts w:cs="Times New Roman"/>
          <w:sz w:val="28"/>
          <w:szCs w:val="28"/>
        </w:rPr>
        <w:t>万m</w:t>
      </w:r>
      <w:r>
        <w:rPr>
          <w:rFonts w:cs="Times New Roman"/>
          <w:sz w:val="28"/>
          <w:szCs w:val="28"/>
          <w:vertAlign w:val="superscript"/>
        </w:rPr>
        <w:t>3</w:t>
      </w:r>
      <w:r>
        <w:rPr>
          <w:rFonts w:hint="eastAsia" w:cs="Times New Roman"/>
          <w:sz w:val="28"/>
          <w:szCs w:val="28"/>
        </w:rPr>
        <w:t>。</w:t>
      </w:r>
    </w:p>
    <w:p w14:paraId="0C4427CB">
      <w:pPr>
        <w:adjustRightInd w:val="0"/>
        <w:spacing w:line="240" w:lineRule="auto"/>
        <w:jc w:val="center"/>
        <w:rPr>
          <w:b/>
          <w:bCs/>
        </w:rPr>
      </w:pPr>
      <w:r>
        <w:rPr>
          <w:b/>
          <w:bCs/>
        </w:rPr>
        <w:t>表</w:t>
      </w:r>
      <w:r>
        <w:rPr>
          <w:rFonts w:hint="eastAsia"/>
          <w:b/>
          <w:bCs/>
        </w:rPr>
        <w:t>4</w:t>
      </w:r>
      <w:r>
        <w:rPr>
          <w:b/>
          <w:bCs/>
        </w:rPr>
        <w:t>-</w:t>
      </w:r>
      <w:r>
        <w:rPr>
          <w:rFonts w:hint="eastAsia"/>
          <w:b/>
          <w:bCs/>
        </w:rPr>
        <w:t>14</w:t>
      </w:r>
      <w:r>
        <w:rPr>
          <w:b/>
          <w:bCs/>
        </w:rPr>
        <w:t xml:space="preserve">  </w:t>
      </w:r>
      <w:r>
        <w:rPr>
          <w:rFonts w:hint="eastAsia"/>
          <w:b/>
          <w:bCs/>
        </w:rPr>
        <w:t>九原区规划年管网漏损</w:t>
      </w:r>
      <w:r>
        <w:rPr>
          <w:b/>
          <w:bCs/>
        </w:rPr>
        <w:t>节水潜力估算表</w:t>
      </w:r>
    </w:p>
    <w:tbl>
      <w:tblPr>
        <w:tblStyle w:val="19"/>
        <w:tblW w:w="5000" w:type="pct"/>
        <w:tblInd w:w="0" w:type="dxa"/>
        <w:tblLayout w:type="autofit"/>
        <w:tblCellMar>
          <w:top w:w="0" w:type="dxa"/>
          <w:left w:w="108" w:type="dxa"/>
          <w:bottom w:w="0" w:type="dxa"/>
          <w:right w:w="108" w:type="dxa"/>
        </w:tblCellMar>
      </w:tblPr>
      <w:tblGrid>
        <w:gridCol w:w="4094"/>
        <w:gridCol w:w="1899"/>
        <w:gridCol w:w="2529"/>
      </w:tblGrid>
      <w:tr w14:paraId="022C1198">
        <w:tblPrEx>
          <w:tblCellMar>
            <w:top w:w="0" w:type="dxa"/>
            <w:left w:w="108" w:type="dxa"/>
            <w:bottom w:w="0" w:type="dxa"/>
            <w:right w:w="108" w:type="dxa"/>
          </w:tblCellMar>
        </w:tblPrEx>
        <w:trPr>
          <w:trHeight w:val="286" w:hRule="atLeast"/>
        </w:trPr>
        <w:tc>
          <w:tcPr>
            <w:tcW w:w="240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DB75FF4">
            <w:pPr>
              <w:adjustRightInd w:val="0"/>
              <w:spacing w:line="240" w:lineRule="auto"/>
              <w:jc w:val="center"/>
              <w:rPr>
                <w:rFonts w:cs="Times New Roman"/>
                <w:color w:val="000000"/>
                <w:szCs w:val="24"/>
              </w:rPr>
            </w:pPr>
            <w:r>
              <w:rPr>
                <w:rFonts w:cs="Times New Roman"/>
                <w:color w:val="000000"/>
                <w:szCs w:val="24"/>
              </w:rPr>
              <w:t>项目</w:t>
            </w:r>
          </w:p>
        </w:tc>
        <w:tc>
          <w:tcPr>
            <w:tcW w:w="1114" w:type="pct"/>
            <w:tcBorders>
              <w:top w:val="single" w:color="auto" w:sz="4" w:space="0"/>
              <w:left w:val="nil"/>
              <w:bottom w:val="single" w:color="auto" w:sz="4" w:space="0"/>
              <w:right w:val="single" w:color="auto" w:sz="4" w:space="0"/>
            </w:tcBorders>
            <w:shd w:val="clear" w:color="auto" w:fill="auto"/>
            <w:vAlign w:val="center"/>
          </w:tcPr>
          <w:p w14:paraId="6EE8D8DF">
            <w:pPr>
              <w:adjustRightInd w:val="0"/>
              <w:spacing w:line="240" w:lineRule="auto"/>
              <w:jc w:val="center"/>
              <w:rPr>
                <w:rFonts w:cs="Times New Roman"/>
                <w:color w:val="000000"/>
                <w:szCs w:val="24"/>
              </w:rPr>
            </w:pPr>
            <w:r>
              <w:rPr>
                <w:rFonts w:cs="Times New Roman"/>
                <w:color w:val="000000"/>
                <w:szCs w:val="24"/>
              </w:rPr>
              <w:t>现状年</w:t>
            </w:r>
          </w:p>
        </w:tc>
        <w:tc>
          <w:tcPr>
            <w:tcW w:w="1484" w:type="pct"/>
            <w:tcBorders>
              <w:top w:val="single" w:color="auto" w:sz="4" w:space="0"/>
              <w:left w:val="nil"/>
              <w:bottom w:val="single" w:color="auto" w:sz="4" w:space="0"/>
              <w:right w:val="single" w:color="auto" w:sz="4" w:space="0"/>
            </w:tcBorders>
            <w:shd w:val="clear" w:color="auto" w:fill="auto"/>
            <w:noWrap/>
            <w:vAlign w:val="center"/>
          </w:tcPr>
          <w:p w14:paraId="75D4DCEB">
            <w:pPr>
              <w:adjustRightInd w:val="0"/>
              <w:spacing w:line="240" w:lineRule="auto"/>
              <w:jc w:val="center"/>
              <w:rPr>
                <w:rFonts w:cs="Times New Roman"/>
                <w:color w:val="000000"/>
                <w:szCs w:val="24"/>
              </w:rPr>
            </w:pPr>
            <w:r>
              <w:rPr>
                <w:rFonts w:cs="Times New Roman"/>
                <w:color w:val="000000"/>
                <w:szCs w:val="24"/>
              </w:rPr>
              <w:t>203</w:t>
            </w:r>
            <w:r>
              <w:rPr>
                <w:rFonts w:hint="eastAsia" w:cs="Times New Roman"/>
                <w:color w:val="000000"/>
                <w:szCs w:val="24"/>
              </w:rPr>
              <w:t>5</w:t>
            </w:r>
            <w:r>
              <w:rPr>
                <w:rFonts w:cs="Times New Roman"/>
                <w:color w:val="000000"/>
                <w:szCs w:val="24"/>
              </w:rPr>
              <w:t>年</w:t>
            </w:r>
          </w:p>
        </w:tc>
      </w:tr>
      <w:tr w14:paraId="7C853E85">
        <w:tblPrEx>
          <w:tblCellMar>
            <w:top w:w="0" w:type="dxa"/>
            <w:left w:w="108" w:type="dxa"/>
            <w:bottom w:w="0" w:type="dxa"/>
            <w:right w:w="108" w:type="dxa"/>
          </w:tblCellMar>
        </w:tblPrEx>
        <w:trPr>
          <w:trHeight w:val="286" w:hRule="atLeast"/>
        </w:trPr>
        <w:tc>
          <w:tcPr>
            <w:tcW w:w="2402" w:type="pct"/>
            <w:tcBorders>
              <w:top w:val="nil"/>
              <w:left w:val="single" w:color="auto" w:sz="4" w:space="0"/>
              <w:bottom w:val="single" w:color="auto" w:sz="4" w:space="0"/>
              <w:right w:val="single" w:color="auto" w:sz="4" w:space="0"/>
            </w:tcBorders>
            <w:shd w:val="clear" w:color="auto" w:fill="auto"/>
            <w:noWrap/>
            <w:vAlign w:val="center"/>
          </w:tcPr>
          <w:p w14:paraId="6FABAF2F">
            <w:pPr>
              <w:adjustRightInd w:val="0"/>
              <w:spacing w:line="240" w:lineRule="auto"/>
              <w:jc w:val="center"/>
              <w:rPr>
                <w:rFonts w:cs="Times New Roman"/>
                <w:color w:val="000000"/>
                <w:szCs w:val="24"/>
              </w:rPr>
            </w:pPr>
            <w:r>
              <w:rPr>
                <w:rFonts w:cs="Times New Roman"/>
                <w:color w:val="000000"/>
                <w:szCs w:val="24"/>
              </w:rPr>
              <w:t>用水量（万m</w:t>
            </w:r>
            <w:r>
              <w:rPr>
                <w:rFonts w:cs="Times New Roman"/>
                <w:color w:val="000000"/>
                <w:szCs w:val="24"/>
                <w:vertAlign w:val="superscript"/>
              </w:rPr>
              <w:t>3</w:t>
            </w:r>
            <w:r>
              <w:rPr>
                <w:rFonts w:cs="Times New Roman"/>
                <w:color w:val="000000"/>
                <w:szCs w:val="24"/>
              </w:rPr>
              <w:t>）</w:t>
            </w:r>
          </w:p>
        </w:tc>
        <w:tc>
          <w:tcPr>
            <w:tcW w:w="1114" w:type="pct"/>
            <w:tcBorders>
              <w:top w:val="nil"/>
              <w:left w:val="nil"/>
              <w:bottom w:val="single" w:color="auto" w:sz="4" w:space="0"/>
              <w:right w:val="single" w:color="auto" w:sz="4" w:space="0"/>
            </w:tcBorders>
            <w:shd w:val="clear" w:color="auto" w:fill="auto"/>
            <w:noWrap/>
            <w:vAlign w:val="center"/>
          </w:tcPr>
          <w:p w14:paraId="286C9C68">
            <w:pPr>
              <w:adjustRightInd w:val="0"/>
              <w:spacing w:line="240" w:lineRule="auto"/>
              <w:jc w:val="center"/>
              <w:rPr>
                <w:rFonts w:cs="Times New Roman"/>
                <w:color w:val="000000"/>
                <w:szCs w:val="24"/>
              </w:rPr>
            </w:pPr>
            <w:r>
              <w:rPr>
                <w:rFonts w:hint="eastAsia" w:cs="Times New Roman"/>
                <w:color w:val="000000"/>
                <w:szCs w:val="24"/>
              </w:rPr>
              <w:t>570.28</w:t>
            </w:r>
          </w:p>
        </w:tc>
        <w:tc>
          <w:tcPr>
            <w:tcW w:w="1484" w:type="pct"/>
            <w:tcBorders>
              <w:top w:val="nil"/>
              <w:left w:val="nil"/>
              <w:bottom w:val="single" w:color="auto" w:sz="4" w:space="0"/>
              <w:right w:val="single" w:color="auto" w:sz="4" w:space="0"/>
            </w:tcBorders>
            <w:shd w:val="clear" w:color="auto" w:fill="auto"/>
            <w:noWrap/>
            <w:vAlign w:val="center"/>
          </w:tcPr>
          <w:p w14:paraId="69B915C6">
            <w:pPr>
              <w:adjustRightInd w:val="0"/>
              <w:spacing w:line="240" w:lineRule="auto"/>
              <w:jc w:val="center"/>
              <w:rPr>
                <w:rFonts w:cs="Times New Roman"/>
                <w:color w:val="000000"/>
                <w:szCs w:val="24"/>
              </w:rPr>
            </w:pPr>
          </w:p>
        </w:tc>
      </w:tr>
      <w:tr w14:paraId="32335265">
        <w:tblPrEx>
          <w:tblCellMar>
            <w:top w:w="0" w:type="dxa"/>
            <w:left w:w="108" w:type="dxa"/>
            <w:bottom w:w="0" w:type="dxa"/>
            <w:right w:w="108" w:type="dxa"/>
          </w:tblCellMar>
        </w:tblPrEx>
        <w:trPr>
          <w:trHeight w:val="286" w:hRule="atLeast"/>
        </w:trPr>
        <w:tc>
          <w:tcPr>
            <w:tcW w:w="2402" w:type="pct"/>
            <w:tcBorders>
              <w:top w:val="nil"/>
              <w:left w:val="single" w:color="auto" w:sz="4" w:space="0"/>
              <w:bottom w:val="single" w:color="auto" w:sz="4" w:space="0"/>
              <w:right w:val="single" w:color="auto" w:sz="4" w:space="0"/>
            </w:tcBorders>
            <w:shd w:val="clear" w:color="auto" w:fill="auto"/>
            <w:noWrap/>
            <w:vAlign w:val="center"/>
          </w:tcPr>
          <w:p w14:paraId="1EBC5C3F">
            <w:pPr>
              <w:adjustRightInd w:val="0"/>
              <w:spacing w:line="240" w:lineRule="auto"/>
              <w:jc w:val="center"/>
              <w:rPr>
                <w:rFonts w:cs="Times New Roman"/>
                <w:color w:val="000000"/>
                <w:szCs w:val="24"/>
              </w:rPr>
            </w:pPr>
            <w:r>
              <w:rPr>
                <w:rFonts w:cs="Times New Roman"/>
                <w:color w:val="000000"/>
                <w:szCs w:val="24"/>
              </w:rPr>
              <w:t>管网漏损率（%）</w:t>
            </w:r>
          </w:p>
        </w:tc>
        <w:tc>
          <w:tcPr>
            <w:tcW w:w="1114" w:type="pct"/>
            <w:tcBorders>
              <w:top w:val="nil"/>
              <w:left w:val="nil"/>
              <w:bottom w:val="single" w:color="auto" w:sz="4" w:space="0"/>
              <w:right w:val="single" w:color="auto" w:sz="4" w:space="0"/>
            </w:tcBorders>
            <w:shd w:val="clear" w:color="auto" w:fill="auto"/>
            <w:noWrap/>
            <w:vAlign w:val="center"/>
          </w:tcPr>
          <w:p w14:paraId="3B2B8DF7">
            <w:pPr>
              <w:adjustRightInd w:val="0"/>
              <w:spacing w:line="240" w:lineRule="auto"/>
              <w:jc w:val="center"/>
              <w:rPr>
                <w:rFonts w:cs="Times New Roman"/>
                <w:color w:val="000000"/>
                <w:szCs w:val="24"/>
              </w:rPr>
            </w:pPr>
            <w:r>
              <w:rPr>
                <w:rFonts w:cs="Times New Roman"/>
                <w:color w:val="000000"/>
                <w:szCs w:val="24"/>
              </w:rPr>
              <w:t>7.93</w:t>
            </w:r>
          </w:p>
        </w:tc>
        <w:tc>
          <w:tcPr>
            <w:tcW w:w="1484" w:type="pct"/>
            <w:tcBorders>
              <w:top w:val="nil"/>
              <w:left w:val="nil"/>
              <w:bottom w:val="single" w:color="auto" w:sz="4" w:space="0"/>
              <w:right w:val="single" w:color="auto" w:sz="4" w:space="0"/>
            </w:tcBorders>
            <w:shd w:val="clear" w:color="auto" w:fill="auto"/>
            <w:noWrap/>
            <w:vAlign w:val="center"/>
          </w:tcPr>
          <w:p w14:paraId="10F21599">
            <w:pPr>
              <w:adjustRightInd w:val="0"/>
              <w:spacing w:line="240" w:lineRule="auto"/>
              <w:jc w:val="center"/>
              <w:rPr>
                <w:rFonts w:cs="Times New Roman"/>
                <w:color w:val="000000"/>
                <w:szCs w:val="24"/>
              </w:rPr>
            </w:pPr>
            <w:r>
              <w:rPr>
                <w:rFonts w:cs="Times New Roman"/>
                <w:color w:val="000000"/>
                <w:szCs w:val="24"/>
              </w:rPr>
              <w:t>7</w:t>
            </w:r>
          </w:p>
        </w:tc>
      </w:tr>
      <w:tr w14:paraId="121B8C42">
        <w:tblPrEx>
          <w:tblCellMar>
            <w:top w:w="0" w:type="dxa"/>
            <w:left w:w="108" w:type="dxa"/>
            <w:bottom w:w="0" w:type="dxa"/>
            <w:right w:w="108" w:type="dxa"/>
          </w:tblCellMar>
        </w:tblPrEx>
        <w:trPr>
          <w:trHeight w:val="286" w:hRule="atLeast"/>
        </w:trPr>
        <w:tc>
          <w:tcPr>
            <w:tcW w:w="2402" w:type="pct"/>
            <w:tcBorders>
              <w:top w:val="nil"/>
              <w:left w:val="single" w:color="auto" w:sz="4" w:space="0"/>
              <w:bottom w:val="single" w:color="auto" w:sz="4" w:space="0"/>
              <w:right w:val="single" w:color="auto" w:sz="4" w:space="0"/>
            </w:tcBorders>
            <w:shd w:val="clear" w:color="auto" w:fill="auto"/>
            <w:noWrap/>
            <w:vAlign w:val="center"/>
          </w:tcPr>
          <w:p w14:paraId="75ECAEED">
            <w:pPr>
              <w:adjustRightInd w:val="0"/>
              <w:spacing w:line="240" w:lineRule="auto"/>
              <w:jc w:val="center"/>
              <w:rPr>
                <w:rFonts w:cs="Times New Roman"/>
                <w:color w:val="000000"/>
                <w:szCs w:val="24"/>
              </w:rPr>
            </w:pPr>
            <w:r>
              <w:rPr>
                <w:rFonts w:cs="Times New Roman"/>
                <w:color w:val="000000"/>
                <w:szCs w:val="24"/>
              </w:rPr>
              <w:t>节水潜力（万m</w:t>
            </w:r>
            <w:r>
              <w:rPr>
                <w:rFonts w:cs="Times New Roman"/>
                <w:color w:val="000000"/>
                <w:szCs w:val="24"/>
                <w:vertAlign w:val="superscript"/>
              </w:rPr>
              <w:t>3</w:t>
            </w:r>
            <w:r>
              <w:rPr>
                <w:rFonts w:cs="Times New Roman"/>
                <w:color w:val="000000"/>
                <w:szCs w:val="24"/>
              </w:rPr>
              <w:t>）</w:t>
            </w:r>
          </w:p>
        </w:tc>
        <w:tc>
          <w:tcPr>
            <w:tcW w:w="1114" w:type="pct"/>
            <w:tcBorders>
              <w:top w:val="nil"/>
              <w:left w:val="nil"/>
              <w:bottom w:val="single" w:color="auto" w:sz="4" w:space="0"/>
              <w:right w:val="single" w:color="auto" w:sz="4" w:space="0"/>
            </w:tcBorders>
            <w:shd w:val="clear" w:color="auto" w:fill="auto"/>
            <w:noWrap/>
            <w:vAlign w:val="center"/>
          </w:tcPr>
          <w:p w14:paraId="13FFA9D2">
            <w:pPr>
              <w:adjustRightInd w:val="0"/>
              <w:spacing w:line="240" w:lineRule="auto"/>
              <w:jc w:val="center"/>
              <w:rPr>
                <w:rFonts w:cs="Times New Roman"/>
                <w:color w:val="000000"/>
                <w:szCs w:val="24"/>
              </w:rPr>
            </w:pPr>
          </w:p>
        </w:tc>
        <w:tc>
          <w:tcPr>
            <w:tcW w:w="1484" w:type="pct"/>
            <w:tcBorders>
              <w:top w:val="nil"/>
              <w:left w:val="nil"/>
              <w:bottom w:val="single" w:color="auto" w:sz="4" w:space="0"/>
              <w:right w:val="single" w:color="auto" w:sz="4" w:space="0"/>
            </w:tcBorders>
            <w:shd w:val="clear" w:color="auto" w:fill="auto"/>
            <w:noWrap/>
            <w:vAlign w:val="center"/>
          </w:tcPr>
          <w:p w14:paraId="52228A2C">
            <w:pPr>
              <w:adjustRightInd w:val="0"/>
              <w:spacing w:line="240" w:lineRule="auto"/>
              <w:jc w:val="center"/>
              <w:rPr>
                <w:rFonts w:cs="Times New Roman"/>
                <w:color w:val="000000"/>
                <w:szCs w:val="24"/>
              </w:rPr>
            </w:pPr>
            <w:r>
              <w:rPr>
                <w:rFonts w:hint="eastAsia" w:cs="Times New Roman"/>
                <w:color w:val="000000"/>
                <w:szCs w:val="24"/>
              </w:rPr>
              <w:t>5.7</w:t>
            </w:r>
          </w:p>
        </w:tc>
      </w:tr>
    </w:tbl>
    <w:p w14:paraId="45E08463">
      <w:pPr>
        <w:widowControl/>
        <w:adjustRightInd w:val="0"/>
        <w:spacing w:before="156" w:beforeLines="5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4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⑷</w:t>
      </w:r>
      <w:r>
        <w:rPr>
          <w:rFonts w:cs="Times New Roman"/>
          <w:b/>
          <w:bCs/>
          <w:sz w:val="28"/>
          <w:szCs w:val="28"/>
        </w:rPr>
        <w:fldChar w:fldCharType="end"/>
      </w:r>
      <w:r>
        <w:rPr>
          <w:rFonts w:hint="eastAsia" w:cs="Times New Roman"/>
          <w:b/>
          <w:bCs/>
          <w:sz w:val="28"/>
          <w:szCs w:val="28"/>
        </w:rPr>
        <w:t>总节水潜力</w:t>
      </w:r>
    </w:p>
    <w:p w14:paraId="51439D96">
      <w:pPr>
        <w:widowControl/>
        <w:adjustRightInd w:val="0"/>
        <w:ind w:firstLine="560" w:firstLineChars="200"/>
        <w:rPr>
          <w:rFonts w:cs="Times New Roman"/>
          <w:sz w:val="28"/>
          <w:szCs w:val="28"/>
        </w:rPr>
      </w:pPr>
      <w:r>
        <w:rPr>
          <w:rFonts w:hint="eastAsia" w:cs="Times New Roman"/>
          <w:sz w:val="28"/>
          <w:szCs w:val="28"/>
        </w:rPr>
        <w:t>根据九原区现状年用水实际状况，按照高质量发展的要求，严格落实节水优先，对标同类地区先进节水标准，并考虑经济社会发展水平和节水投入产出，以及节水措施可能性，按照确定的节水目标指标，测算得到2035年九原区可节水量569.32万m</w:t>
      </w:r>
      <w:r>
        <w:rPr>
          <w:rFonts w:hint="eastAsia" w:cs="Times New Roman"/>
          <w:sz w:val="28"/>
          <w:szCs w:val="28"/>
          <w:vertAlign w:val="superscript"/>
        </w:rPr>
        <w:t>3</w:t>
      </w:r>
      <w:r>
        <w:rPr>
          <w:rFonts w:hint="eastAsia" w:cs="Times New Roman"/>
          <w:sz w:val="28"/>
          <w:szCs w:val="28"/>
        </w:rPr>
        <w:t>。</w:t>
      </w:r>
    </w:p>
    <w:p w14:paraId="2A01523E">
      <w:pPr>
        <w:adjustRightInd w:val="0"/>
        <w:spacing w:line="240" w:lineRule="auto"/>
        <w:jc w:val="center"/>
        <w:rPr>
          <w:b/>
          <w:bCs/>
        </w:rPr>
      </w:pPr>
      <w:r>
        <w:rPr>
          <w:rFonts w:hint="eastAsia"/>
          <w:b/>
          <w:bCs/>
        </w:rPr>
        <w:t>表4-15  九原区节水潜力测算成果表</w:t>
      </w:r>
    </w:p>
    <w:tbl>
      <w:tblPr>
        <w:tblStyle w:val="19"/>
        <w:tblW w:w="5000" w:type="pct"/>
        <w:jc w:val="center"/>
        <w:tblLayout w:type="autofit"/>
        <w:tblCellMar>
          <w:top w:w="0" w:type="dxa"/>
          <w:left w:w="108" w:type="dxa"/>
          <w:bottom w:w="0" w:type="dxa"/>
          <w:right w:w="108" w:type="dxa"/>
        </w:tblCellMar>
      </w:tblPr>
      <w:tblGrid>
        <w:gridCol w:w="1013"/>
        <w:gridCol w:w="1892"/>
        <w:gridCol w:w="1894"/>
        <w:gridCol w:w="1894"/>
        <w:gridCol w:w="1829"/>
      </w:tblGrid>
      <w:tr w14:paraId="72F41ED5">
        <w:tblPrEx>
          <w:tblCellMar>
            <w:top w:w="0" w:type="dxa"/>
            <w:left w:w="108" w:type="dxa"/>
            <w:bottom w:w="0" w:type="dxa"/>
            <w:right w:w="108" w:type="dxa"/>
          </w:tblCellMar>
        </w:tblPrEx>
        <w:trPr>
          <w:trHeight w:val="20" w:hRule="atLeast"/>
          <w:jc w:val="center"/>
        </w:trPr>
        <w:tc>
          <w:tcPr>
            <w:tcW w:w="595" w:type="pct"/>
            <w:tcBorders>
              <w:top w:val="single" w:color="auto" w:sz="4" w:space="0"/>
              <w:left w:val="single" w:color="auto" w:sz="4" w:space="0"/>
              <w:bottom w:val="single" w:color="auto" w:sz="4" w:space="0"/>
              <w:right w:val="single" w:color="auto" w:sz="4" w:space="0"/>
            </w:tcBorders>
            <w:shd w:val="clear" w:color="auto" w:fill="auto"/>
            <w:vAlign w:val="center"/>
          </w:tcPr>
          <w:p w14:paraId="0FBCEAB2">
            <w:pPr>
              <w:widowControl/>
              <w:adjustRightInd w:val="0"/>
              <w:spacing w:line="240" w:lineRule="auto"/>
              <w:jc w:val="center"/>
              <w:rPr>
                <w:rFonts w:cs="Times New Roman"/>
                <w:color w:val="000000"/>
                <w:kern w:val="0"/>
                <w:szCs w:val="24"/>
              </w:rPr>
            </w:pPr>
            <w:r>
              <w:rPr>
                <w:rFonts w:cs="Times New Roman"/>
                <w:color w:val="000000"/>
                <w:kern w:val="0"/>
                <w:szCs w:val="24"/>
              </w:rPr>
              <w:t>行政区</w:t>
            </w:r>
          </w:p>
        </w:tc>
        <w:tc>
          <w:tcPr>
            <w:tcW w:w="1110" w:type="pct"/>
            <w:tcBorders>
              <w:top w:val="single" w:color="auto" w:sz="4" w:space="0"/>
              <w:left w:val="nil"/>
              <w:bottom w:val="single" w:color="auto" w:sz="4" w:space="0"/>
              <w:right w:val="single" w:color="auto" w:sz="4" w:space="0"/>
            </w:tcBorders>
            <w:shd w:val="clear" w:color="auto" w:fill="auto"/>
            <w:vAlign w:val="center"/>
          </w:tcPr>
          <w:p w14:paraId="5D845DCB">
            <w:pPr>
              <w:widowControl/>
              <w:adjustRightInd w:val="0"/>
              <w:spacing w:line="240" w:lineRule="auto"/>
              <w:jc w:val="center"/>
              <w:rPr>
                <w:rFonts w:cs="Times New Roman"/>
                <w:color w:val="000000"/>
                <w:kern w:val="0"/>
                <w:szCs w:val="24"/>
              </w:rPr>
            </w:pPr>
            <w:r>
              <w:rPr>
                <w:rFonts w:cs="Times New Roman"/>
                <w:color w:val="000000"/>
                <w:kern w:val="0"/>
                <w:szCs w:val="24"/>
              </w:rPr>
              <w:t>农业（万m</w:t>
            </w:r>
            <w:r>
              <w:rPr>
                <w:rFonts w:cs="Times New Roman"/>
                <w:color w:val="000000"/>
                <w:kern w:val="0"/>
                <w:szCs w:val="24"/>
                <w:vertAlign w:val="superscript"/>
              </w:rPr>
              <w:t>3</w:t>
            </w:r>
            <w:r>
              <w:rPr>
                <w:rFonts w:cs="Times New Roman"/>
                <w:color w:val="000000"/>
                <w:kern w:val="0"/>
                <w:szCs w:val="24"/>
              </w:rPr>
              <w:t>）</w:t>
            </w:r>
          </w:p>
        </w:tc>
        <w:tc>
          <w:tcPr>
            <w:tcW w:w="1111" w:type="pct"/>
            <w:tcBorders>
              <w:top w:val="single" w:color="auto" w:sz="4" w:space="0"/>
              <w:left w:val="nil"/>
              <w:bottom w:val="single" w:color="auto" w:sz="4" w:space="0"/>
              <w:right w:val="single" w:color="auto" w:sz="4" w:space="0"/>
            </w:tcBorders>
            <w:shd w:val="clear" w:color="auto" w:fill="auto"/>
            <w:vAlign w:val="center"/>
          </w:tcPr>
          <w:p w14:paraId="3A0F1840">
            <w:pPr>
              <w:widowControl/>
              <w:adjustRightInd w:val="0"/>
              <w:spacing w:line="240" w:lineRule="auto"/>
              <w:jc w:val="center"/>
              <w:rPr>
                <w:rFonts w:cs="Times New Roman"/>
                <w:color w:val="000000"/>
                <w:kern w:val="0"/>
                <w:szCs w:val="24"/>
              </w:rPr>
            </w:pPr>
            <w:r>
              <w:rPr>
                <w:rFonts w:cs="Times New Roman"/>
                <w:color w:val="000000"/>
                <w:kern w:val="0"/>
                <w:szCs w:val="24"/>
              </w:rPr>
              <w:t>工业（万m</w:t>
            </w:r>
            <w:r>
              <w:rPr>
                <w:rFonts w:cs="Times New Roman"/>
                <w:color w:val="000000"/>
                <w:kern w:val="0"/>
                <w:szCs w:val="24"/>
                <w:vertAlign w:val="superscript"/>
              </w:rPr>
              <w:t>3</w:t>
            </w:r>
            <w:r>
              <w:rPr>
                <w:rFonts w:cs="Times New Roman"/>
                <w:color w:val="000000"/>
                <w:kern w:val="0"/>
                <w:szCs w:val="24"/>
              </w:rPr>
              <w:t>）</w:t>
            </w:r>
          </w:p>
        </w:tc>
        <w:tc>
          <w:tcPr>
            <w:tcW w:w="1111" w:type="pct"/>
            <w:tcBorders>
              <w:top w:val="single" w:color="auto" w:sz="4" w:space="0"/>
              <w:left w:val="nil"/>
              <w:bottom w:val="single" w:color="auto" w:sz="4" w:space="0"/>
              <w:right w:val="single" w:color="auto" w:sz="4" w:space="0"/>
            </w:tcBorders>
            <w:shd w:val="clear" w:color="auto" w:fill="auto"/>
            <w:vAlign w:val="center"/>
          </w:tcPr>
          <w:p w14:paraId="7022317A">
            <w:pPr>
              <w:widowControl/>
              <w:adjustRightInd w:val="0"/>
              <w:spacing w:line="240" w:lineRule="auto"/>
              <w:jc w:val="center"/>
              <w:rPr>
                <w:rFonts w:cs="Times New Roman"/>
                <w:color w:val="000000"/>
                <w:kern w:val="0"/>
                <w:szCs w:val="24"/>
              </w:rPr>
            </w:pPr>
            <w:r>
              <w:rPr>
                <w:rFonts w:cs="Times New Roman"/>
                <w:color w:val="000000"/>
                <w:kern w:val="0"/>
                <w:szCs w:val="24"/>
              </w:rPr>
              <w:t>生活（万m</w:t>
            </w:r>
            <w:r>
              <w:rPr>
                <w:rFonts w:cs="Times New Roman"/>
                <w:color w:val="000000"/>
                <w:kern w:val="0"/>
                <w:szCs w:val="24"/>
                <w:vertAlign w:val="superscript"/>
              </w:rPr>
              <w:t>3</w:t>
            </w:r>
            <w:r>
              <w:rPr>
                <w:rFonts w:cs="Times New Roman"/>
                <w:color w:val="000000"/>
                <w:kern w:val="0"/>
                <w:szCs w:val="24"/>
              </w:rPr>
              <w:t>）</w:t>
            </w:r>
          </w:p>
        </w:tc>
        <w:tc>
          <w:tcPr>
            <w:tcW w:w="1073" w:type="pct"/>
            <w:tcBorders>
              <w:top w:val="single" w:color="auto" w:sz="4" w:space="0"/>
              <w:left w:val="nil"/>
              <w:bottom w:val="single" w:color="auto" w:sz="4" w:space="0"/>
              <w:right w:val="single" w:color="auto" w:sz="4" w:space="0"/>
            </w:tcBorders>
            <w:shd w:val="clear" w:color="auto" w:fill="auto"/>
            <w:vAlign w:val="center"/>
          </w:tcPr>
          <w:p w14:paraId="6AD11A8A">
            <w:pPr>
              <w:widowControl/>
              <w:adjustRightInd w:val="0"/>
              <w:spacing w:line="240" w:lineRule="auto"/>
              <w:jc w:val="center"/>
              <w:rPr>
                <w:rFonts w:cs="Times New Roman"/>
                <w:color w:val="000000"/>
                <w:kern w:val="0"/>
                <w:szCs w:val="24"/>
              </w:rPr>
            </w:pPr>
            <w:r>
              <w:rPr>
                <w:rFonts w:cs="Times New Roman"/>
                <w:color w:val="000000"/>
                <w:kern w:val="0"/>
                <w:szCs w:val="24"/>
              </w:rPr>
              <w:t>合计（万m</w:t>
            </w:r>
            <w:r>
              <w:rPr>
                <w:rFonts w:cs="Times New Roman"/>
                <w:color w:val="000000"/>
                <w:kern w:val="0"/>
                <w:szCs w:val="24"/>
                <w:vertAlign w:val="superscript"/>
              </w:rPr>
              <w:t>3</w:t>
            </w:r>
            <w:r>
              <w:rPr>
                <w:rFonts w:cs="Times New Roman"/>
                <w:color w:val="000000"/>
                <w:kern w:val="0"/>
                <w:szCs w:val="24"/>
              </w:rPr>
              <w:t>）</w:t>
            </w:r>
          </w:p>
        </w:tc>
      </w:tr>
      <w:tr w14:paraId="460627D5">
        <w:tblPrEx>
          <w:tblCellMar>
            <w:top w:w="0" w:type="dxa"/>
            <w:left w:w="108" w:type="dxa"/>
            <w:bottom w:w="0" w:type="dxa"/>
            <w:right w:w="108" w:type="dxa"/>
          </w:tblCellMar>
        </w:tblPrEx>
        <w:trPr>
          <w:trHeight w:val="20" w:hRule="atLeast"/>
          <w:jc w:val="center"/>
        </w:trPr>
        <w:tc>
          <w:tcPr>
            <w:tcW w:w="595" w:type="pct"/>
            <w:tcBorders>
              <w:top w:val="nil"/>
              <w:left w:val="single" w:color="auto" w:sz="4" w:space="0"/>
              <w:bottom w:val="single" w:color="auto" w:sz="4" w:space="0"/>
              <w:right w:val="single" w:color="auto" w:sz="4" w:space="0"/>
            </w:tcBorders>
            <w:shd w:val="clear" w:color="auto" w:fill="auto"/>
            <w:vAlign w:val="center"/>
          </w:tcPr>
          <w:p w14:paraId="1A4FD794">
            <w:pPr>
              <w:widowControl/>
              <w:adjustRightInd w:val="0"/>
              <w:spacing w:line="240" w:lineRule="auto"/>
              <w:jc w:val="center"/>
              <w:rPr>
                <w:rFonts w:cs="Times New Roman"/>
                <w:color w:val="000000"/>
                <w:kern w:val="0"/>
                <w:szCs w:val="24"/>
              </w:rPr>
            </w:pPr>
            <w:r>
              <w:rPr>
                <w:rFonts w:cs="Times New Roman"/>
                <w:color w:val="000000"/>
                <w:kern w:val="0"/>
                <w:szCs w:val="24"/>
              </w:rPr>
              <w:t>九原区</w:t>
            </w:r>
          </w:p>
        </w:tc>
        <w:tc>
          <w:tcPr>
            <w:tcW w:w="1110" w:type="pct"/>
            <w:tcBorders>
              <w:top w:val="nil"/>
              <w:left w:val="nil"/>
              <w:bottom w:val="single" w:color="auto" w:sz="4" w:space="0"/>
              <w:right w:val="single" w:color="auto" w:sz="4" w:space="0"/>
            </w:tcBorders>
            <w:shd w:val="clear" w:color="auto" w:fill="auto"/>
            <w:noWrap/>
            <w:vAlign w:val="center"/>
          </w:tcPr>
          <w:p w14:paraId="040E0889">
            <w:pPr>
              <w:widowControl/>
              <w:adjustRightInd w:val="0"/>
              <w:spacing w:line="240" w:lineRule="auto"/>
              <w:jc w:val="center"/>
              <w:rPr>
                <w:rFonts w:cs="Times New Roman"/>
                <w:color w:val="000000"/>
                <w:kern w:val="0"/>
                <w:szCs w:val="24"/>
              </w:rPr>
            </w:pPr>
            <w:r>
              <w:rPr>
                <w:rFonts w:cs="Times New Roman"/>
                <w:color w:val="000000"/>
                <w:kern w:val="0"/>
                <w:szCs w:val="24"/>
              </w:rPr>
              <w:t>428.68</w:t>
            </w:r>
          </w:p>
        </w:tc>
        <w:tc>
          <w:tcPr>
            <w:tcW w:w="1111" w:type="pct"/>
            <w:tcBorders>
              <w:top w:val="nil"/>
              <w:left w:val="nil"/>
              <w:bottom w:val="single" w:color="auto" w:sz="4" w:space="0"/>
              <w:right w:val="single" w:color="auto" w:sz="4" w:space="0"/>
            </w:tcBorders>
            <w:shd w:val="clear" w:color="auto" w:fill="auto"/>
            <w:noWrap/>
            <w:vAlign w:val="center"/>
          </w:tcPr>
          <w:p w14:paraId="296A12FD">
            <w:pPr>
              <w:widowControl/>
              <w:adjustRightInd w:val="0"/>
              <w:spacing w:line="240" w:lineRule="auto"/>
              <w:jc w:val="center"/>
              <w:rPr>
                <w:rFonts w:cs="Times New Roman"/>
                <w:color w:val="000000"/>
                <w:kern w:val="0"/>
                <w:szCs w:val="24"/>
              </w:rPr>
            </w:pPr>
            <w:r>
              <w:rPr>
                <w:rFonts w:cs="Times New Roman"/>
                <w:color w:val="000000"/>
                <w:kern w:val="0"/>
                <w:szCs w:val="24"/>
              </w:rPr>
              <w:t>134.94</w:t>
            </w:r>
          </w:p>
        </w:tc>
        <w:tc>
          <w:tcPr>
            <w:tcW w:w="1111" w:type="pct"/>
            <w:tcBorders>
              <w:top w:val="nil"/>
              <w:left w:val="nil"/>
              <w:bottom w:val="single" w:color="auto" w:sz="4" w:space="0"/>
              <w:right w:val="single" w:color="auto" w:sz="4" w:space="0"/>
            </w:tcBorders>
            <w:shd w:val="clear" w:color="auto" w:fill="auto"/>
            <w:vAlign w:val="center"/>
          </w:tcPr>
          <w:p w14:paraId="6567359F">
            <w:pPr>
              <w:widowControl/>
              <w:adjustRightInd w:val="0"/>
              <w:spacing w:line="240" w:lineRule="auto"/>
              <w:jc w:val="center"/>
              <w:rPr>
                <w:rFonts w:cs="Times New Roman"/>
                <w:color w:val="000000"/>
                <w:kern w:val="0"/>
                <w:szCs w:val="24"/>
              </w:rPr>
            </w:pPr>
            <w:r>
              <w:rPr>
                <w:rFonts w:cs="Times New Roman"/>
                <w:color w:val="000000"/>
                <w:kern w:val="0"/>
                <w:szCs w:val="24"/>
              </w:rPr>
              <w:t>5.70</w:t>
            </w:r>
          </w:p>
        </w:tc>
        <w:tc>
          <w:tcPr>
            <w:tcW w:w="1073" w:type="pct"/>
            <w:tcBorders>
              <w:top w:val="nil"/>
              <w:left w:val="nil"/>
              <w:bottom w:val="single" w:color="auto" w:sz="4" w:space="0"/>
              <w:right w:val="single" w:color="auto" w:sz="4" w:space="0"/>
            </w:tcBorders>
            <w:shd w:val="clear" w:color="auto" w:fill="auto"/>
            <w:vAlign w:val="center"/>
          </w:tcPr>
          <w:p w14:paraId="4380FA11">
            <w:pPr>
              <w:widowControl/>
              <w:adjustRightInd w:val="0"/>
              <w:spacing w:line="240" w:lineRule="auto"/>
              <w:jc w:val="center"/>
              <w:rPr>
                <w:rFonts w:cs="Times New Roman"/>
                <w:color w:val="000000"/>
                <w:kern w:val="0"/>
                <w:szCs w:val="24"/>
              </w:rPr>
            </w:pPr>
            <w:r>
              <w:rPr>
                <w:rFonts w:cs="Times New Roman"/>
                <w:color w:val="000000"/>
                <w:kern w:val="0"/>
                <w:szCs w:val="24"/>
              </w:rPr>
              <w:t>569.32</w:t>
            </w:r>
          </w:p>
        </w:tc>
      </w:tr>
    </w:tbl>
    <w:p w14:paraId="7532DF0E">
      <w:pPr>
        <w:adjustRightInd w:val="0"/>
        <w:spacing w:line="240" w:lineRule="auto"/>
        <w:jc w:val="center"/>
        <w:rPr>
          <w:b/>
          <w:bCs/>
        </w:rPr>
      </w:pPr>
    </w:p>
    <w:p w14:paraId="3BA423A2">
      <w:pPr>
        <w:pStyle w:val="4"/>
        <w:widowControl/>
        <w:adjustRightInd w:val="0"/>
        <w:spacing w:before="0" w:after="0" w:line="360" w:lineRule="auto"/>
        <w:jc w:val="left"/>
        <w:rPr>
          <w:rFonts w:eastAsia="黑体" w:cs="Times New Roman"/>
          <w:b w:val="0"/>
          <w:bCs w:val="0"/>
          <w:kern w:val="0"/>
          <w:sz w:val="28"/>
          <w:szCs w:val="28"/>
        </w:rPr>
      </w:pPr>
      <w:bookmarkStart w:id="125" w:name="_Toc198652063"/>
      <w:r>
        <w:rPr>
          <w:rFonts w:hint="eastAsia" w:eastAsia="黑体" w:cs="Times New Roman"/>
          <w:b w:val="0"/>
          <w:bCs w:val="0"/>
          <w:kern w:val="0"/>
          <w:sz w:val="28"/>
          <w:szCs w:val="28"/>
        </w:rPr>
        <w:t>4.6.4</w:t>
      </w:r>
      <w:r>
        <w:rPr>
          <w:rFonts w:eastAsia="黑体" w:cs="Times New Roman"/>
          <w:b w:val="0"/>
          <w:bCs w:val="0"/>
          <w:kern w:val="0"/>
          <w:sz w:val="28"/>
          <w:szCs w:val="28"/>
        </w:rPr>
        <w:t>节水措施方案</w:t>
      </w:r>
      <w:bookmarkEnd w:id="125"/>
    </w:p>
    <w:p w14:paraId="22F7C7F5">
      <w:pPr>
        <w:widowControl/>
        <w:adjustRightInd w:val="0"/>
        <w:ind w:firstLine="560" w:firstLineChars="200"/>
      </w:pPr>
      <w:r>
        <w:rPr>
          <w:rFonts w:hint="eastAsia" w:cs="Times New Roman"/>
          <w:sz w:val="28"/>
          <w:szCs w:val="28"/>
        </w:rPr>
        <w:t>深入实施节水行动，健全刚性约束指标体系，聚焦农业和农村节水增效、工业节水减排降污、城镇节水降损减耗、非常规水源利用等重点领域，深化体制机制改革，全面推进节水型社会建设。</w:t>
      </w:r>
    </w:p>
    <w:p w14:paraId="16BECE2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健全刚性约束指标体系</w:t>
      </w:r>
    </w:p>
    <w:p w14:paraId="30F6B6CF">
      <w:pPr>
        <w:widowControl/>
        <w:adjustRightInd w:val="0"/>
        <w:ind w:firstLine="560" w:firstLineChars="200"/>
        <w:rPr>
          <w:rFonts w:cs="Times New Roman"/>
          <w:sz w:val="28"/>
          <w:szCs w:val="28"/>
        </w:rPr>
      </w:pPr>
      <w:r>
        <w:rPr>
          <w:rFonts w:hint="eastAsia" w:cs="Times New Roman"/>
          <w:sz w:val="28"/>
          <w:szCs w:val="28"/>
        </w:rPr>
        <w:t>坚持把水资源作为最大的刚性约束，全方位贯彻“四水四定”原则，促进水资源承载力与经济社会协调发展。从严从细管好水资源，精打细算用好水资源，推动形成水资源节约集约利用的产业结构、生产方式、生活方式、空间格局，以集约节约用水的实际成效拓展和提升高质量发展空间和水平。</w:t>
      </w:r>
    </w:p>
    <w:p w14:paraId="03CFEF7B">
      <w:pPr>
        <w:widowControl/>
        <w:adjustRightInd w:val="0"/>
        <w:ind w:firstLine="560" w:firstLineChars="200"/>
        <w:rPr>
          <w:rFonts w:cs="Times New Roman"/>
          <w:sz w:val="28"/>
          <w:szCs w:val="28"/>
        </w:rPr>
      </w:pPr>
      <w:r>
        <w:rPr>
          <w:rFonts w:hint="eastAsia" w:cs="Times New Roman"/>
          <w:sz w:val="28"/>
          <w:szCs w:val="28"/>
        </w:rPr>
        <w:t>加强用水总量控制，健全全区行政区用水总量管控指标体系，确定地下水水位、水量管控指标，明晰取水户和灌溉用水户水权。做好用水强度控制，建立健全区域用水效率管控指标、体系，将节水作为约束性指标纳入政绩考核，强化用水定额管理，全区新、改、扩建项目用水指标达到自治区行业先进值，严格执行取水许可、计划用水。规范用途管制，严格“四水四定”，合理配置本地区生活、农业、工业和河道外生态环境用水，规范取用水户的水资源用途管理，全面开展规划和建设项目水资源论证、节水评价，严格用水全过程管理。</w:t>
      </w:r>
    </w:p>
    <w:p w14:paraId="5B22F1B6">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推进农业节水增效和量水生产</w:t>
      </w:r>
    </w:p>
    <w:p w14:paraId="669FBD83">
      <w:pPr>
        <w:widowControl/>
        <w:adjustRightInd w:val="0"/>
        <w:ind w:firstLine="560" w:firstLineChars="200"/>
        <w:rPr>
          <w:rFonts w:cs="Times New Roman"/>
          <w:sz w:val="28"/>
          <w:szCs w:val="28"/>
        </w:rPr>
      </w:pPr>
      <w:r>
        <w:rPr>
          <w:rFonts w:hint="eastAsia" w:cs="Times New Roman"/>
          <w:sz w:val="28"/>
          <w:szCs w:val="28"/>
        </w:rPr>
        <w:t>以水定地、量水而行。统筹考虑全区水资源条件和粮食安全，充分考虑水资源承载能力，宜农则农、宜牧则牧、宜草则草，在科学确定水土开发规模基础上，合理确定灌溉规模、调整农业种植和农产品结构，推动农业绿色转型。加强用水总量控制，严格控制灌溉用水规模，合理减少作物非生育期灌溉水量，强化定额管理，全区农业灌溉用水量不再增加，原则上不再扩大灌溉面积。选取典型灌区，探索推进“水权转让”将农业灌溉节约水量有偿转让给工业项目。</w:t>
      </w:r>
    </w:p>
    <w:p w14:paraId="19364819">
      <w:pPr>
        <w:widowControl/>
        <w:adjustRightInd w:val="0"/>
        <w:ind w:firstLine="560" w:firstLineChars="200"/>
        <w:rPr>
          <w:rFonts w:cs="Times New Roman"/>
          <w:sz w:val="28"/>
          <w:szCs w:val="28"/>
        </w:rPr>
      </w:pPr>
      <w:r>
        <w:rPr>
          <w:rFonts w:hint="eastAsia" w:cs="Times New Roman"/>
          <w:sz w:val="28"/>
          <w:szCs w:val="28"/>
        </w:rPr>
        <w:t>大力发展高效节水灌溉。持续推进骨干灌排设施提档升级，提高工程输配水利用效率。以地表水渠道防渗节水灌溉、地下水膜下滴灌为重点，推广黄河水滴灌方式，推进高效节水灌溉规模化、集约化、现代化发展。到</w:t>
      </w:r>
      <w:r>
        <w:rPr>
          <w:rFonts w:cs="Times New Roman"/>
          <w:sz w:val="28"/>
          <w:szCs w:val="28"/>
        </w:rPr>
        <w:t>2035</w:t>
      </w:r>
      <w:r>
        <w:rPr>
          <w:rFonts w:hint="eastAsia" w:cs="Times New Roman"/>
          <w:sz w:val="28"/>
          <w:szCs w:val="28"/>
        </w:rPr>
        <w:t>年，全区永久基本农田中的耕地灌溉面积全部达到高标准农田建设标准，节水灌溉面积比例达</w:t>
      </w:r>
      <w:r>
        <w:rPr>
          <w:rFonts w:cs="Times New Roman"/>
          <w:sz w:val="28"/>
          <w:szCs w:val="28"/>
        </w:rPr>
        <w:t>100%</w:t>
      </w:r>
      <w:r>
        <w:rPr>
          <w:rFonts w:hint="eastAsia" w:cs="Times New Roman"/>
          <w:sz w:val="28"/>
          <w:szCs w:val="28"/>
        </w:rPr>
        <w:t>，高效节水灌溉面积比例达到</w:t>
      </w:r>
      <w:r>
        <w:rPr>
          <w:rFonts w:cs="Times New Roman"/>
          <w:sz w:val="28"/>
          <w:szCs w:val="28"/>
        </w:rPr>
        <w:t>80%</w:t>
      </w:r>
      <w:r>
        <w:rPr>
          <w:rFonts w:hint="eastAsia" w:cs="Times New Roman"/>
          <w:sz w:val="28"/>
          <w:szCs w:val="28"/>
        </w:rPr>
        <w:t>以上，井灌区全部实现高效节水灌溉。</w:t>
      </w:r>
    </w:p>
    <w:p w14:paraId="5278A413">
      <w:pPr>
        <w:widowControl/>
        <w:adjustRightInd w:val="0"/>
        <w:ind w:firstLine="560" w:firstLineChars="200"/>
        <w:rPr>
          <w:rFonts w:cs="Times New Roman"/>
          <w:sz w:val="28"/>
          <w:szCs w:val="28"/>
        </w:rPr>
      </w:pPr>
      <w:r>
        <w:rPr>
          <w:rFonts w:hint="eastAsia" w:cs="Times New Roman"/>
          <w:sz w:val="28"/>
          <w:szCs w:val="28"/>
        </w:rPr>
        <w:t>重点灌区现代化改造。按照合理布局、突出重点、分类指导、梯次推进的总体要求，完成九原区三湖河灌区加快续建配套和现代化改造，提高灌区输配水能力、运行管理能力和信息化水平，建设水土资源优化配置、灌排技术设施先进、灌溉发展制度创新、管理手段智慧、生态环境友好的现代化灌区。</w:t>
      </w:r>
    </w:p>
    <w:p w14:paraId="793B413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cs="Times New Roman"/>
          <w:b/>
          <w:bCs/>
          <w:sz w:val="28"/>
          <w:szCs w:val="28"/>
        </w:rPr>
        <w:t>推进工业节水减排和循环利用</w:t>
      </w:r>
    </w:p>
    <w:p w14:paraId="71410243">
      <w:pPr>
        <w:widowControl/>
        <w:adjustRightInd w:val="0"/>
        <w:ind w:firstLine="560" w:firstLineChars="200"/>
        <w:rPr>
          <w:rFonts w:cs="Times New Roman"/>
          <w:sz w:val="28"/>
          <w:szCs w:val="28"/>
        </w:rPr>
      </w:pPr>
      <w:r>
        <w:rPr>
          <w:rFonts w:hint="eastAsia" w:cs="Times New Roman"/>
          <w:sz w:val="28"/>
          <w:szCs w:val="28"/>
        </w:rPr>
        <w:t>优化调整工业产业结构。按照</w:t>
      </w:r>
      <w:r>
        <w:rPr>
          <w:rFonts w:cs="Times New Roman"/>
          <w:sz w:val="28"/>
          <w:szCs w:val="28"/>
        </w:rPr>
        <w:t>“</w:t>
      </w:r>
      <w:r>
        <w:rPr>
          <w:rFonts w:hint="eastAsia" w:cs="Times New Roman"/>
          <w:sz w:val="28"/>
          <w:szCs w:val="28"/>
        </w:rPr>
        <w:t>绿色高效、链条延伸、品牌支撑、转型升级</w:t>
      </w:r>
      <w:r>
        <w:rPr>
          <w:rFonts w:cs="Times New Roman"/>
          <w:sz w:val="28"/>
          <w:szCs w:val="28"/>
        </w:rPr>
        <w:t>”</w:t>
      </w:r>
      <w:r>
        <w:rPr>
          <w:rFonts w:hint="eastAsia" w:cs="Times New Roman"/>
          <w:sz w:val="28"/>
          <w:szCs w:val="28"/>
        </w:rPr>
        <w:t>的发展思路，加快推动新材料、能源、农畜产品加工等主导产业转型升级。大力发展战略性新兴产业，鼓励高产出低耗水新型产业发展，培育壮大绿色发展动能。鼓励产业链延伸，积极推进从原材料初级加工向下游精深加工转变，从资源开发型向能源制造型转变。</w:t>
      </w:r>
    </w:p>
    <w:p w14:paraId="6600C224">
      <w:pPr>
        <w:widowControl/>
        <w:adjustRightInd w:val="0"/>
        <w:ind w:firstLine="560" w:firstLineChars="200"/>
        <w:rPr>
          <w:rFonts w:cs="Times New Roman"/>
          <w:sz w:val="28"/>
          <w:szCs w:val="28"/>
        </w:rPr>
      </w:pPr>
      <w:r>
        <w:rPr>
          <w:rFonts w:hint="eastAsia" w:cs="Times New Roman"/>
          <w:sz w:val="28"/>
          <w:szCs w:val="28"/>
        </w:rPr>
        <w:t>推进工业节水改造。完善供用水计量体系和在线监测体系建设，强化生产用水管理，采用差别水价以及树立节水标杆等措施，促进工业节水减排。针对工业产业结构特点，重点对</w:t>
      </w:r>
      <w:r>
        <w:rPr>
          <w:rFonts w:cs="Times New Roman"/>
          <w:sz w:val="28"/>
          <w:szCs w:val="28"/>
        </w:rPr>
        <w:t>“</w:t>
      </w:r>
      <w:r>
        <w:rPr>
          <w:rFonts w:hint="eastAsia" w:cs="Times New Roman"/>
          <w:sz w:val="28"/>
          <w:szCs w:val="28"/>
        </w:rPr>
        <w:t>三高</w:t>
      </w:r>
      <w:r>
        <w:rPr>
          <w:rFonts w:cs="Times New Roman"/>
          <w:sz w:val="28"/>
          <w:szCs w:val="28"/>
        </w:rPr>
        <w:t>”</w:t>
      </w:r>
      <w:r>
        <w:rPr>
          <w:rFonts w:hint="eastAsia" w:cs="Times New Roman"/>
          <w:sz w:val="28"/>
          <w:szCs w:val="28"/>
        </w:rPr>
        <w:t>行业进行节水改造。选择产能大、基础条件好的企业，从取水、供水、用水、耗水、排水等环节，支持企业开展节水技术改造及再生水回用改造。重点企业要定期开展水平衡测试、用水审计及水效对标。对超过取水定额标准的企业分类分步限期实施节水改造。在生态脆弱、严重缺水和地下水超采地区，严格控制高耗水新建、改建、扩建项目，推进高耗水企业向水资源条件允许的工业园区集中。对采用列入淘汰目录工艺、技术和装备的项目，不予批准取水许可。</w:t>
      </w:r>
    </w:p>
    <w:p w14:paraId="4624DE62">
      <w:pPr>
        <w:widowControl/>
        <w:adjustRightInd w:val="0"/>
        <w:ind w:firstLine="560" w:firstLineChars="200"/>
        <w:rPr>
          <w:rFonts w:cs="Times New Roman"/>
          <w:sz w:val="28"/>
          <w:szCs w:val="28"/>
        </w:rPr>
      </w:pPr>
      <w:r>
        <w:rPr>
          <w:rFonts w:hint="eastAsia" w:cs="Times New Roman"/>
          <w:sz w:val="28"/>
          <w:szCs w:val="28"/>
        </w:rPr>
        <w:t>加强节水型工业园区建设。优先引进先进低水耗项目，严格控制新增高耗水项目，控制高耗水改建、扩建项目。推进现有九原工业园区开展以水资源循环梯级利用为重点内容的节水升级改造，加快节水及水循环利用设施建设，促进企业间串联用水、分质用水，一水多用和循环利用。九原工业园区与市政再生水运营部门合作，建立企业点对点串联用水系统，积极推动工业废水资源化利用，完善工业企业、园区污水处理设施建设，全区应将市政再生水作为园区工业生产用水的重要来源，严控新水取用量。</w:t>
      </w:r>
    </w:p>
    <w:p w14:paraId="0F74206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4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⑷</w:t>
      </w:r>
      <w:r>
        <w:rPr>
          <w:rFonts w:cs="Times New Roman"/>
          <w:b/>
          <w:bCs/>
          <w:sz w:val="28"/>
          <w:szCs w:val="28"/>
        </w:rPr>
        <w:fldChar w:fldCharType="end"/>
      </w:r>
      <w:r>
        <w:rPr>
          <w:rFonts w:cs="Times New Roman"/>
          <w:b/>
          <w:bCs/>
          <w:sz w:val="28"/>
          <w:szCs w:val="28"/>
        </w:rPr>
        <w:t>推进城镇节水降损</w:t>
      </w:r>
    </w:p>
    <w:p w14:paraId="750B0DB7">
      <w:pPr>
        <w:widowControl/>
        <w:adjustRightInd w:val="0"/>
        <w:ind w:firstLine="560" w:firstLineChars="200"/>
        <w:rPr>
          <w:rFonts w:cs="Times New Roman"/>
          <w:sz w:val="28"/>
          <w:szCs w:val="28"/>
        </w:rPr>
      </w:pPr>
      <w:r>
        <w:rPr>
          <w:rFonts w:hint="eastAsia" w:cs="Times New Roman"/>
          <w:sz w:val="28"/>
          <w:szCs w:val="28"/>
        </w:rPr>
        <w:t>推进节水型城市建设。提高城市节水工作系统性，将节水落实到城市规划、建设、管理各环节，实现优水优用、循环循序利用。落实城市节水各项基础管理制度，推进城镇节水改造。结合海绵城市建设，提高雨水资源利用水平。以缺水严重地区城市为重点，完善再生水利用设施建设与改造，城市生态景观、城市绿化、工业生产、道路清扫和车辆冲洗等，应优先使用再生水，鼓励构建城镇良性水循环系统。</w:t>
      </w:r>
    </w:p>
    <w:p w14:paraId="441A1593">
      <w:pPr>
        <w:widowControl/>
        <w:adjustRightInd w:val="0"/>
        <w:ind w:firstLine="560" w:firstLineChars="200"/>
        <w:rPr>
          <w:rFonts w:cs="Times New Roman"/>
          <w:sz w:val="28"/>
          <w:szCs w:val="28"/>
        </w:rPr>
      </w:pPr>
      <w:r>
        <w:rPr>
          <w:rFonts w:hint="eastAsia" w:cs="Times New Roman"/>
          <w:sz w:val="28"/>
          <w:szCs w:val="28"/>
        </w:rPr>
        <w:t>降低城市公共供水管网漏损。针对城市管网漏损较大的问题，开展城市供水管网普查工作，建立管网技术档案，制定合理改造方案，有计划的对使用年限超过</w:t>
      </w:r>
      <w:r>
        <w:rPr>
          <w:rFonts w:cs="Times New Roman"/>
          <w:sz w:val="28"/>
          <w:szCs w:val="28"/>
        </w:rPr>
        <w:t>50</w:t>
      </w:r>
      <w:r>
        <w:rPr>
          <w:rFonts w:hint="eastAsia" w:cs="Times New Roman"/>
          <w:sz w:val="28"/>
          <w:szCs w:val="28"/>
        </w:rPr>
        <w:t>年，材质落后和受损失修的供水管网进行更新改造。深入开展城市供水管网分区计量管理，完善供水管网检漏制度，建立精细化管理监测平台和管网漏损管控体系，进一步降低供水管网漏损率。供水企业须加大管网检漏力度，加强管网巡查，对供水管线进行定期巡检和维护。到</w:t>
      </w:r>
      <w:r>
        <w:rPr>
          <w:rFonts w:cs="Times New Roman"/>
          <w:sz w:val="28"/>
          <w:szCs w:val="28"/>
        </w:rPr>
        <w:t>2035</w:t>
      </w:r>
      <w:r>
        <w:rPr>
          <w:rFonts w:hint="eastAsia" w:cs="Times New Roman"/>
          <w:sz w:val="28"/>
          <w:szCs w:val="28"/>
        </w:rPr>
        <w:t>年，全区公共管网漏损率控制在</w:t>
      </w:r>
      <w:r>
        <w:rPr>
          <w:rFonts w:cs="Times New Roman"/>
          <w:sz w:val="28"/>
          <w:szCs w:val="28"/>
        </w:rPr>
        <w:t>7%</w:t>
      </w:r>
      <w:r>
        <w:rPr>
          <w:rFonts w:hint="eastAsia" w:cs="Times New Roman"/>
          <w:sz w:val="28"/>
          <w:szCs w:val="28"/>
        </w:rPr>
        <w:t>以内。</w:t>
      </w:r>
    </w:p>
    <w:p w14:paraId="37BA780D">
      <w:pPr>
        <w:widowControl/>
        <w:adjustRightInd w:val="0"/>
        <w:ind w:firstLine="560" w:firstLineChars="200"/>
        <w:rPr>
          <w:rFonts w:cs="Times New Roman"/>
          <w:sz w:val="28"/>
          <w:szCs w:val="28"/>
        </w:rPr>
      </w:pPr>
      <w:r>
        <w:rPr>
          <w:rFonts w:hint="eastAsia" w:cs="Times New Roman"/>
          <w:sz w:val="28"/>
          <w:szCs w:val="28"/>
        </w:rPr>
        <w:t>强化城镇用水定额管理。充分发挥市场、价格因素在水资源配置、水需求调节中的重要作用。缺水城市要积极落实</w:t>
      </w:r>
      <w:r>
        <w:rPr>
          <w:rFonts w:cs="Times New Roman"/>
          <w:sz w:val="28"/>
          <w:szCs w:val="28"/>
        </w:rPr>
        <w:t>“</w:t>
      </w:r>
      <w:r>
        <w:rPr>
          <w:rFonts w:hint="eastAsia" w:cs="Times New Roman"/>
          <w:sz w:val="28"/>
          <w:szCs w:val="28"/>
        </w:rPr>
        <w:t>阶梯水价</w:t>
      </w:r>
      <w:r>
        <w:rPr>
          <w:rFonts w:cs="Times New Roman"/>
          <w:sz w:val="28"/>
          <w:szCs w:val="28"/>
        </w:rPr>
        <w:t>”</w:t>
      </w:r>
      <w:r>
        <w:rPr>
          <w:rFonts w:hint="eastAsia" w:cs="Times New Roman"/>
          <w:sz w:val="28"/>
          <w:szCs w:val="28"/>
        </w:rPr>
        <w:t>制度，保持居民基本生活用水价格稳定；对非居民用水和特种行业用水实行不同的用水价格，并落实超定额累进加价。鼓励用水单位采取节水措施。进一步完善污水处理成本分担机制、激励约束机制和收费标准动态调整机制，健全相关配套政策。</w:t>
      </w:r>
    </w:p>
    <w:p w14:paraId="079C67CA">
      <w:pPr>
        <w:widowControl/>
        <w:adjustRightInd w:val="0"/>
        <w:ind w:firstLine="560" w:firstLineChars="200"/>
        <w:rPr>
          <w:rFonts w:cs="Times New Roman"/>
          <w:sz w:val="28"/>
          <w:szCs w:val="28"/>
        </w:rPr>
      </w:pPr>
      <w:r>
        <w:rPr>
          <w:rFonts w:hint="eastAsia" w:cs="Times New Roman"/>
          <w:sz w:val="28"/>
          <w:szCs w:val="28"/>
        </w:rPr>
        <w:t>深入开展公共领域节水。城市园林绿化宜选用适合本地区的节水耐旱型植被，采用高效节水灌溉方式。公共机构要开展供水管网、绿化浇灌系统等节水诊断。加快推广普及生活节水器具，推进学校、医院、宾馆、餐饮、洗浴等重点行业节水技术改造，全面开展节水型公共机构、居民小区建设。新建公共建筑必须安装使用节水器具。到</w:t>
      </w:r>
      <w:r>
        <w:rPr>
          <w:rFonts w:cs="Times New Roman"/>
          <w:sz w:val="28"/>
          <w:szCs w:val="28"/>
        </w:rPr>
        <w:t>203</w:t>
      </w:r>
      <w:r>
        <w:rPr>
          <w:rFonts w:hint="eastAsia" w:cs="Times New Roman"/>
          <w:sz w:val="28"/>
          <w:szCs w:val="28"/>
        </w:rPr>
        <w:t>5年，全区节水器具普及率达到</w:t>
      </w:r>
      <w:r>
        <w:rPr>
          <w:rFonts w:cs="Times New Roman"/>
          <w:sz w:val="28"/>
          <w:szCs w:val="28"/>
        </w:rPr>
        <w:t>100%</w:t>
      </w:r>
      <w:r>
        <w:rPr>
          <w:rFonts w:hint="eastAsia" w:cs="Times New Roman"/>
          <w:sz w:val="28"/>
          <w:szCs w:val="28"/>
        </w:rPr>
        <w:t>。</w:t>
      </w:r>
    </w:p>
    <w:p w14:paraId="1646546D">
      <w:pPr>
        <w:widowControl/>
        <w:adjustRightInd w:val="0"/>
        <w:ind w:firstLine="560" w:firstLineChars="200"/>
        <w:rPr>
          <w:rFonts w:cs="Times New Roman"/>
          <w:sz w:val="28"/>
          <w:szCs w:val="28"/>
        </w:rPr>
      </w:pPr>
      <w:r>
        <w:rPr>
          <w:rFonts w:hint="eastAsia" w:cs="Times New Roman"/>
          <w:sz w:val="28"/>
          <w:szCs w:val="28"/>
        </w:rPr>
        <w:t>严控特种行业用水。从严控制洗浴、洗车、洗涤、宾馆等行业用水定额，严格实行超定额累进加价制度。特种行业应积极推广循环用水技术和设备，优先利用再生水、雨水等非常规水源。</w:t>
      </w:r>
    </w:p>
    <w:p w14:paraId="23219B3D">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5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⑸</w:t>
      </w:r>
      <w:r>
        <w:rPr>
          <w:rFonts w:cs="Times New Roman"/>
          <w:b/>
          <w:bCs/>
          <w:sz w:val="28"/>
          <w:szCs w:val="28"/>
        </w:rPr>
        <w:fldChar w:fldCharType="end"/>
      </w:r>
      <w:r>
        <w:rPr>
          <w:rFonts w:hint="eastAsia" w:cs="Times New Roman"/>
          <w:b/>
          <w:bCs/>
          <w:sz w:val="28"/>
          <w:szCs w:val="28"/>
        </w:rPr>
        <w:t>推进非常规水源利用</w:t>
      </w:r>
    </w:p>
    <w:p w14:paraId="5B4D2B21">
      <w:pPr>
        <w:widowControl/>
        <w:adjustRightInd w:val="0"/>
        <w:ind w:firstLine="560" w:firstLineChars="200"/>
        <w:rPr>
          <w:rFonts w:cs="Times New Roman"/>
          <w:sz w:val="28"/>
          <w:szCs w:val="28"/>
        </w:rPr>
      </w:pPr>
      <w:r>
        <w:rPr>
          <w:rFonts w:hint="eastAsia" w:cs="Times New Roman"/>
          <w:sz w:val="28"/>
          <w:szCs w:val="28"/>
        </w:rPr>
        <w:t>加强非常规水源配置。鼓励优先配置利用中水、微咸水和雨水等非常规水源，推动雨洪资源化利用，并将非常规水源纳入区域水资源统一配置，逐年提高非常规水利用比例，并纳入实行最严格水资源管理制度考核。加快实施工业项目取用地下水的水源置换工作，逐步减少现有工业项目使用的地下水，具备使用非常规水条件但未充分利用的建设项目不得批准其新增取水许可。把非常规水源利用和节水工作摆在相同位置，优先考虑采用非常规水源代替解决全区缺水区域的用水需求。</w:t>
      </w:r>
    </w:p>
    <w:p w14:paraId="3A7C8521">
      <w:pPr>
        <w:widowControl/>
        <w:adjustRightInd w:val="0"/>
        <w:ind w:firstLine="560" w:firstLineChars="200"/>
        <w:rPr>
          <w:rFonts w:cs="Times New Roman"/>
          <w:sz w:val="28"/>
          <w:szCs w:val="28"/>
        </w:rPr>
      </w:pPr>
      <w:r>
        <w:rPr>
          <w:rFonts w:hint="eastAsia" w:cs="Times New Roman"/>
          <w:sz w:val="28"/>
          <w:szCs w:val="28"/>
        </w:rPr>
        <w:t>健全非常规水源利用体制机制。引进、推广、创新适用技术，降低非常规水源利用成本，发挥经济杠杆调控作用，吸引更多的需水用户使用非常规水源。完善非常规水源技术标准规范，建立健全促进非常规水源利用的法规、政策、财税体系。强化非常规水源利用监督管理，火电、石化、钢铁、有色、造纸、印染等高耗水行业项目具备使用再生水条件但未有效利用的，要严格控制新增取水许可或核减其年计划用水总量。</w:t>
      </w:r>
    </w:p>
    <w:p w14:paraId="560C0B4B">
      <w:pPr>
        <w:widowControl/>
        <w:adjustRightInd w:val="0"/>
        <w:ind w:firstLine="560" w:firstLineChars="200"/>
        <w:rPr>
          <w:rFonts w:cs="Times New Roman"/>
          <w:sz w:val="28"/>
          <w:szCs w:val="28"/>
        </w:rPr>
      </w:pPr>
      <w:r>
        <w:rPr>
          <w:rFonts w:hint="eastAsia" w:cs="Times New Roman"/>
          <w:sz w:val="28"/>
          <w:szCs w:val="28"/>
        </w:rPr>
        <w:t>加强再生利用设施建设。结合现有污水处理设施提标升级扩能改造，系统规划城镇污水再生利用设施，合理确定再生水利用方向，推动实现分质、分对象供水，优水优用。鼓励企业加快废水深度处理及中水回用项目建设，确保企业污水排放达标。在重点排污口下游、河流入湖口、支流入干流处，因地制宜实施区域再生水循环利用工程。新建小区、城市道路、公共绿地等因地制宜配套建设雨水集蓄利用设施。新城区要提前规划布局再生水管网，有序开展建设，实现再生水规模化利用。</w:t>
      </w:r>
    </w:p>
    <w:p w14:paraId="271A20F4">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6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⑹</w:t>
      </w:r>
      <w:r>
        <w:rPr>
          <w:rFonts w:cs="Times New Roman"/>
          <w:b/>
          <w:bCs/>
          <w:sz w:val="28"/>
          <w:szCs w:val="28"/>
        </w:rPr>
        <w:fldChar w:fldCharType="end"/>
      </w:r>
      <w:r>
        <w:rPr>
          <w:rFonts w:hint="eastAsia" w:cs="Times New Roman"/>
          <w:b/>
          <w:bCs/>
          <w:sz w:val="28"/>
          <w:szCs w:val="28"/>
        </w:rPr>
        <w:t>深化体制机制改革</w:t>
      </w:r>
    </w:p>
    <w:p w14:paraId="306EE8EA">
      <w:pPr>
        <w:widowControl/>
        <w:adjustRightInd w:val="0"/>
        <w:ind w:firstLine="560" w:firstLineChars="200"/>
        <w:rPr>
          <w:rFonts w:cs="Times New Roman"/>
          <w:sz w:val="28"/>
          <w:szCs w:val="28"/>
        </w:rPr>
      </w:pPr>
      <w:r>
        <w:rPr>
          <w:rFonts w:hint="eastAsia" w:cs="Times New Roman"/>
          <w:sz w:val="28"/>
          <w:szCs w:val="28"/>
        </w:rPr>
        <w:t>全面推进农业水价综合改革。紧紧围绕国家粮食安全和水安全，落实节水优先方针，以完善农田水利工程体系为基础，以健全农业水价形成机制为核心，以提升农业用水效率为目标，不断完善农业水价机制、工程管护机制、用水管理机制、节水奖励和精准补贴机制等“四项机制”，深入推进农业水价综合改革。按照总体不增加农村负担的原则，合理制定或调整水价。实行政府定价的，要开展成本监审，测算出达到运行维护成本的水价和全成本水价。农业水价要达到运行维护成本，达到完全成本水平。全面实施超定额（计划）累进加价制度。全面推行农业用水精准补贴和节水奖励机制。建立与节水成效、调价幅度、财力状况以及水管单位运行状况相匹配的农业用水精准补贴机制，逐步建立易于操作、用水主体普遍接受的农业用水节水奖励机制，多渠道筹集精准补贴和节水奖励资金。通过“以电折水”等计量方式对农业取用地下水进行管理，通过“系数”校正，逐步实现精准计量。到</w:t>
      </w:r>
      <w:r>
        <w:rPr>
          <w:rFonts w:cs="Times New Roman"/>
          <w:sz w:val="28"/>
          <w:szCs w:val="28"/>
        </w:rPr>
        <w:t>20</w:t>
      </w:r>
      <w:r>
        <w:rPr>
          <w:rFonts w:hint="eastAsia" w:cs="Times New Roman"/>
          <w:sz w:val="28"/>
          <w:szCs w:val="28"/>
        </w:rPr>
        <w:t>3</w:t>
      </w:r>
      <w:r>
        <w:rPr>
          <w:rFonts w:cs="Times New Roman"/>
          <w:sz w:val="28"/>
          <w:szCs w:val="28"/>
        </w:rPr>
        <w:t>5</w:t>
      </w:r>
      <w:r>
        <w:rPr>
          <w:rFonts w:hint="eastAsia" w:cs="Times New Roman"/>
          <w:sz w:val="28"/>
          <w:szCs w:val="28"/>
        </w:rPr>
        <w:t>年，全面完成农业水价改革，助力农业和城镇节水。</w:t>
      </w:r>
    </w:p>
    <w:p w14:paraId="29EA1C4C">
      <w:pPr>
        <w:widowControl/>
        <w:adjustRightInd w:val="0"/>
        <w:ind w:firstLine="560" w:firstLineChars="200"/>
        <w:rPr>
          <w:rFonts w:cs="Times New Roman"/>
          <w:sz w:val="28"/>
          <w:szCs w:val="28"/>
        </w:rPr>
      </w:pPr>
      <w:r>
        <w:rPr>
          <w:rFonts w:hint="eastAsia" w:cs="Times New Roman"/>
          <w:sz w:val="28"/>
          <w:szCs w:val="28"/>
        </w:rPr>
        <w:t>不断丰富节水投融资模式。进一步完善节水金融市场、政策、产品、渠道、模式、服务体系和风险防控体系等，整合和集成节水节能减排政策，增强政府投入效能。积极采用财政资金带动社会投资，发展市场化融资，政府和市场“两只手”配合提升投资效率。丰富绿色金融、产业基金、股权融资、债权融资、绿色债券融资、</w:t>
      </w:r>
      <w:r>
        <w:rPr>
          <w:rFonts w:cs="Times New Roman"/>
          <w:sz w:val="28"/>
          <w:szCs w:val="28"/>
        </w:rPr>
        <w:t>PPP</w:t>
      </w:r>
      <w:r>
        <w:rPr>
          <w:rFonts w:hint="eastAsia" w:cs="Times New Roman"/>
          <w:sz w:val="28"/>
          <w:szCs w:val="28"/>
        </w:rPr>
        <w:t>模式、合同节水、绿色资产证券化、融资租赁等市场化融资模式。将节水作为绿色金融重要的支持方向，为节水企业提供中长期政策性低利率贷款支持，不断创新节水信贷金融产品，推广“节水贷”业务，搭建绿色金融平台，为节水项目提供贷款增信，降低融资成本。</w:t>
      </w:r>
    </w:p>
    <w:p w14:paraId="154C476F">
      <w:pPr>
        <w:pStyle w:val="4"/>
        <w:widowControl/>
        <w:adjustRightInd w:val="0"/>
        <w:spacing w:before="0" w:after="0" w:line="360" w:lineRule="auto"/>
        <w:jc w:val="left"/>
        <w:rPr>
          <w:rFonts w:eastAsia="黑体" w:cs="Times New Roman"/>
          <w:b w:val="0"/>
          <w:bCs w:val="0"/>
          <w:kern w:val="0"/>
          <w:sz w:val="28"/>
          <w:szCs w:val="28"/>
        </w:rPr>
      </w:pPr>
      <w:bookmarkStart w:id="126" w:name="_Toc198652064"/>
      <w:r>
        <w:rPr>
          <w:rFonts w:hint="eastAsia" w:eastAsia="黑体" w:cs="Times New Roman"/>
          <w:b w:val="0"/>
          <w:bCs w:val="0"/>
          <w:kern w:val="0"/>
          <w:sz w:val="28"/>
          <w:szCs w:val="28"/>
        </w:rPr>
        <w:t>4.6.5节水控水体系建设</w:t>
      </w:r>
      <w:bookmarkEnd w:id="126"/>
    </w:p>
    <w:p w14:paraId="2A5D2D2A">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农业节水工程</w:t>
      </w:r>
    </w:p>
    <w:p w14:paraId="539A74CE">
      <w:pPr>
        <w:widowControl/>
        <w:adjustRightInd w:val="0"/>
        <w:ind w:firstLine="562" w:firstLineChars="200"/>
        <w:rPr>
          <w:rFonts w:cs="Times New Roman"/>
          <w:b/>
          <w:bCs/>
          <w:sz w:val="28"/>
          <w:szCs w:val="28"/>
        </w:rPr>
      </w:pPr>
      <w:r>
        <w:rPr>
          <w:rFonts w:hint="eastAsia" w:cs="Times New Roman"/>
          <w:b/>
          <w:bCs/>
          <w:sz w:val="28"/>
          <w:szCs w:val="28"/>
        </w:rPr>
        <w:t>①九原区三湖河灌区节水配套与现代化改造项目</w:t>
      </w:r>
    </w:p>
    <w:p w14:paraId="208C1FF5">
      <w:pPr>
        <w:widowControl/>
        <w:adjustRightInd w:val="0"/>
        <w:ind w:firstLine="560" w:firstLineChars="200"/>
        <w:rPr>
          <w:rFonts w:cs="Times New Roman"/>
          <w:sz w:val="28"/>
          <w:szCs w:val="28"/>
        </w:rPr>
      </w:pPr>
      <w:r>
        <w:rPr>
          <w:rFonts w:hint="eastAsia" w:cs="Times New Roman"/>
          <w:sz w:val="28"/>
          <w:szCs w:val="28"/>
        </w:rPr>
        <w:t>渠道衬砌工程，五一支渠渠底现浇钢筋混凝土衬砌</w:t>
      </w:r>
      <w:r>
        <w:rPr>
          <w:rFonts w:cs="Times New Roman"/>
          <w:sz w:val="28"/>
          <w:szCs w:val="28"/>
        </w:rPr>
        <w:t>8km</w:t>
      </w:r>
      <w:r>
        <w:rPr>
          <w:rFonts w:hint="eastAsia" w:cs="Times New Roman"/>
          <w:sz w:val="28"/>
          <w:szCs w:val="28"/>
        </w:rPr>
        <w:t>；公济支渠维修全断面膜袋混凝土衬砌</w:t>
      </w:r>
      <w:r>
        <w:rPr>
          <w:rFonts w:cs="Times New Roman"/>
          <w:sz w:val="28"/>
          <w:szCs w:val="28"/>
        </w:rPr>
        <w:t>2km</w:t>
      </w:r>
      <w:r>
        <w:rPr>
          <w:rFonts w:hint="eastAsia" w:cs="Times New Roman"/>
          <w:sz w:val="28"/>
          <w:szCs w:val="28"/>
        </w:rPr>
        <w:t>；灌区高效节水改造</w:t>
      </w:r>
      <w:r>
        <w:rPr>
          <w:rFonts w:cs="Times New Roman"/>
          <w:sz w:val="28"/>
          <w:szCs w:val="28"/>
        </w:rPr>
        <w:t>5</w:t>
      </w:r>
      <w:r>
        <w:rPr>
          <w:rFonts w:hint="eastAsia" w:cs="Times New Roman"/>
          <w:sz w:val="28"/>
          <w:szCs w:val="28"/>
        </w:rPr>
        <w:t>万亩；二级泵站机电设备配置：安装公益东大、公济和五一</w:t>
      </w:r>
      <w:r>
        <w:rPr>
          <w:rFonts w:cs="Times New Roman"/>
          <w:sz w:val="28"/>
          <w:szCs w:val="28"/>
        </w:rPr>
        <w:t>4</w:t>
      </w:r>
      <w:r>
        <w:rPr>
          <w:rFonts w:hint="eastAsia" w:cs="Times New Roman"/>
          <w:sz w:val="28"/>
          <w:szCs w:val="28"/>
        </w:rPr>
        <w:t>座二级泵站前池清污机；水闸工程：新建哈业胡同干渠节制闸</w:t>
      </w:r>
      <w:r>
        <w:rPr>
          <w:rFonts w:cs="Times New Roman"/>
          <w:sz w:val="28"/>
          <w:szCs w:val="28"/>
        </w:rPr>
        <w:t>1</w:t>
      </w:r>
      <w:r>
        <w:rPr>
          <w:rFonts w:hint="eastAsia" w:cs="Times New Roman"/>
          <w:sz w:val="28"/>
          <w:szCs w:val="28"/>
        </w:rPr>
        <w:t>座；改造支渠进水闸</w:t>
      </w:r>
      <w:r>
        <w:rPr>
          <w:rFonts w:cs="Times New Roman"/>
          <w:sz w:val="28"/>
          <w:szCs w:val="28"/>
        </w:rPr>
        <w:t>6</w:t>
      </w:r>
      <w:r>
        <w:rPr>
          <w:rFonts w:hint="eastAsia" w:cs="Times New Roman"/>
          <w:sz w:val="28"/>
          <w:szCs w:val="28"/>
        </w:rPr>
        <w:t>座；配电改造：五一二级泵站配电改造。闸门更新：更换支渠进水闸自动控制闸门</w:t>
      </w:r>
      <w:r>
        <w:rPr>
          <w:rFonts w:cs="Times New Roman"/>
          <w:sz w:val="28"/>
          <w:szCs w:val="28"/>
        </w:rPr>
        <w:t>20</w:t>
      </w:r>
      <w:r>
        <w:rPr>
          <w:rFonts w:hint="eastAsia" w:cs="Times New Roman"/>
          <w:sz w:val="28"/>
          <w:szCs w:val="28"/>
        </w:rPr>
        <w:t>套。完善灌区管理所信息化建设工程等。东大、五一、公济、公益四个支渠二级泵站更新机电设备，支渠混凝土衬砌</w:t>
      </w:r>
      <w:r>
        <w:rPr>
          <w:rFonts w:cs="Times New Roman"/>
          <w:sz w:val="28"/>
          <w:szCs w:val="28"/>
        </w:rPr>
        <w:t>49km</w:t>
      </w:r>
      <w:r>
        <w:rPr>
          <w:rFonts w:hint="eastAsia" w:cs="Times New Roman"/>
          <w:sz w:val="28"/>
          <w:szCs w:val="28"/>
        </w:rPr>
        <w:t>。</w:t>
      </w:r>
      <w:r>
        <w:rPr>
          <w:rFonts w:cs="Times New Roman"/>
          <w:sz w:val="28"/>
          <w:szCs w:val="28"/>
        </w:rPr>
        <w:t>2030</w:t>
      </w:r>
      <w:r>
        <w:rPr>
          <w:rFonts w:hint="eastAsia" w:cs="Times New Roman"/>
          <w:sz w:val="28"/>
          <w:szCs w:val="28"/>
        </w:rPr>
        <w:t>年前，完成九原区三湖河灌区东大、五一、公济、公益四个支渠二级泵站改造，逐步推进其他灌区的节水配套改造项目；</w:t>
      </w:r>
      <w:r>
        <w:rPr>
          <w:rFonts w:cs="Times New Roman"/>
          <w:sz w:val="28"/>
          <w:szCs w:val="28"/>
        </w:rPr>
        <w:t>2036~2050</w:t>
      </w:r>
      <w:r>
        <w:rPr>
          <w:rFonts w:hint="eastAsia" w:cs="Times New Roman"/>
          <w:sz w:val="28"/>
          <w:szCs w:val="28"/>
        </w:rPr>
        <w:t>年，完成五一支渠改造项目；</w:t>
      </w:r>
      <w:r>
        <w:rPr>
          <w:rFonts w:cs="Times New Roman"/>
          <w:sz w:val="28"/>
          <w:szCs w:val="28"/>
        </w:rPr>
        <w:t>2036~2050</w:t>
      </w:r>
      <w:r>
        <w:rPr>
          <w:rFonts w:hint="eastAsia" w:cs="Times New Roman"/>
          <w:sz w:val="28"/>
          <w:szCs w:val="28"/>
        </w:rPr>
        <w:t>年，配合完成包头市现代化灌区建设任务。</w:t>
      </w:r>
    </w:p>
    <w:p w14:paraId="30C5B910">
      <w:pPr>
        <w:widowControl/>
        <w:adjustRightInd w:val="0"/>
        <w:ind w:firstLine="562" w:firstLineChars="200"/>
        <w:rPr>
          <w:rFonts w:cs="Times New Roman"/>
          <w:b/>
          <w:bCs/>
          <w:sz w:val="28"/>
          <w:szCs w:val="28"/>
        </w:rPr>
      </w:pPr>
      <w:r>
        <w:rPr>
          <w:rFonts w:hint="eastAsia" w:cs="Times New Roman"/>
          <w:b/>
          <w:bCs/>
          <w:sz w:val="28"/>
          <w:szCs w:val="28"/>
        </w:rPr>
        <w:t>②九原区高标准农田建设</w:t>
      </w:r>
    </w:p>
    <w:p w14:paraId="2C5960F2">
      <w:pPr>
        <w:widowControl/>
        <w:adjustRightInd w:val="0"/>
        <w:ind w:firstLine="560" w:firstLineChars="200"/>
        <w:rPr>
          <w:rFonts w:cs="Times New Roman"/>
          <w:sz w:val="28"/>
          <w:szCs w:val="28"/>
        </w:rPr>
      </w:pPr>
      <w:r>
        <w:rPr>
          <w:rFonts w:hint="eastAsia" w:cs="Times New Roman"/>
          <w:sz w:val="28"/>
          <w:szCs w:val="28"/>
        </w:rPr>
        <w:t>新建高标准农田</w:t>
      </w:r>
      <w:r>
        <w:rPr>
          <w:rFonts w:cs="Times New Roman"/>
          <w:sz w:val="28"/>
          <w:szCs w:val="28"/>
        </w:rPr>
        <w:t>4</w:t>
      </w:r>
      <w:r>
        <w:rPr>
          <w:rFonts w:hint="eastAsia" w:cs="Times New Roman"/>
          <w:sz w:val="28"/>
          <w:szCs w:val="28"/>
        </w:rPr>
        <w:t>万亩，实施农田提质改造工程</w:t>
      </w:r>
      <w:r>
        <w:rPr>
          <w:rFonts w:cs="Times New Roman"/>
          <w:sz w:val="28"/>
          <w:szCs w:val="28"/>
        </w:rPr>
        <w:t>9</w:t>
      </w:r>
      <w:r>
        <w:rPr>
          <w:rFonts w:hint="eastAsia" w:cs="Times New Roman"/>
          <w:sz w:val="28"/>
          <w:szCs w:val="28"/>
        </w:rPr>
        <w:t>万亩。</w:t>
      </w:r>
      <w:r>
        <w:rPr>
          <w:rFonts w:cs="Times New Roman"/>
          <w:sz w:val="28"/>
          <w:szCs w:val="28"/>
        </w:rPr>
        <w:t>2025</w:t>
      </w:r>
      <w:r>
        <w:rPr>
          <w:rFonts w:hint="eastAsia" w:cs="Times New Roman"/>
          <w:sz w:val="28"/>
          <w:szCs w:val="28"/>
        </w:rPr>
        <w:t>年之前，完成建设项目的</w:t>
      </w:r>
      <w:r>
        <w:rPr>
          <w:rFonts w:cs="Times New Roman"/>
          <w:sz w:val="28"/>
          <w:szCs w:val="28"/>
        </w:rPr>
        <w:t>30%</w:t>
      </w:r>
      <w:r>
        <w:rPr>
          <w:rFonts w:hint="eastAsia" w:cs="Times New Roman"/>
          <w:sz w:val="28"/>
          <w:szCs w:val="28"/>
        </w:rPr>
        <w:t>；</w:t>
      </w:r>
      <w:r>
        <w:rPr>
          <w:rFonts w:cs="Times New Roman"/>
          <w:sz w:val="28"/>
          <w:szCs w:val="28"/>
        </w:rPr>
        <w:t>2026~2030</w:t>
      </w:r>
      <w:r>
        <w:rPr>
          <w:rFonts w:hint="eastAsia" w:cs="Times New Roman"/>
          <w:sz w:val="28"/>
          <w:szCs w:val="28"/>
        </w:rPr>
        <w:t>年，完成剩余建设任务。</w:t>
      </w:r>
    </w:p>
    <w:p w14:paraId="7BE8FE59">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工业节水工程</w:t>
      </w:r>
    </w:p>
    <w:p w14:paraId="3472A5C0">
      <w:pPr>
        <w:widowControl/>
        <w:adjustRightInd w:val="0"/>
        <w:ind w:firstLine="562" w:firstLineChars="200"/>
        <w:rPr>
          <w:rFonts w:cs="Times New Roman"/>
          <w:b/>
          <w:bCs/>
          <w:sz w:val="28"/>
          <w:szCs w:val="28"/>
        </w:rPr>
      </w:pPr>
      <w:r>
        <w:rPr>
          <w:rFonts w:hint="eastAsia" w:cs="Times New Roman"/>
          <w:b/>
          <w:bCs/>
          <w:sz w:val="28"/>
          <w:szCs w:val="28"/>
        </w:rPr>
        <w:t>①九原区激光及超声波处理高浓度有机（高盐）废水及危废杂盐项目</w:t>
      </w:r>
    </w:p>
    <w:p w14:paraId="2D4D95B0">
      <w:pPr>
        <w:widowControl/>
        <w:adjustRightInd w:val="0"/>
        <w:ind w:firstLine="560" w:firstLineChars="200"/>
        <w:rPr>
          <w:rFonts w:cs="Times New Roman"/>
          <w:sz w:val="28"/>
          <w:szCs w:val="28"/>
        </w:rPr>
      </w:pPr>
      <w:r>
        <w:rPr>
          <w:rFonts w:hint="eastAsia" w:cs="Times New Roman"/>
          <w:sz w:val="28"/>
          <w:szCs w:val="28"/>
        </w:rPr>
        <w:t>主要利用混盐及高浓盐水中硫酸钠与氯化钠在水中的溶解度不同而对两种盐分进行分离。</w:t>
      </w:r>
      <w:r>
        <w:rPr>
          <w:rFonts w:cs="Times New Roman"/>
          <w:sz w:val="28"/>
          <w:szCs w:val="28"/>
        </w:rPr>
        <w:t>2025</w:t>
      </w:r>
      <w:r>
        <w:rPr>
          <w:rFonts w:hint="eastAsia" w:cs="Times New Roman"/>
          <w:sz w:val="28"/>
          <w:szCs w:val="28"/>
        </w:rPr>
        <w:t>年前完成建设项目。</w:t>
      </w:r>
    </w:p>
    <w:p w14:paraId="147439BC">
      <w:pPr>
        <w:widowControl/>
        <w:adjustRightInd w:val="0"/>
        <w:ind w:firstLine="560" w:firstLineChars="200"/>
        <w:rPr>
          <w:rFonts w:cs="Times New Roman"/>
          <w:b/>
          <w:bCs/>
          <w:sz w:val="28"/>
          <w:szCs w:val="28"/>
        </w:rPr>
      </w:pPr>
      <w:r>
        <w:rPr>
          <w:rFonts w:hint="eastAsia" w:cs="Times New Roman"/>
          <w:sz w:val="28"/>
          <w:szCs w:val="28"/>
        </w:rPr>
        <w:t>②</w:t>
      </w:r>
      <w:r>
        <w:rPr>
          <w:rFonts w:hint="eastAsia" w:cs="Times New Roman"/>
          <w:b/>
          <w:bCs/>
          <w:sz w:val="28"/>
          <w:szCs w:val="28"/>
        </w:rPr>
        <w:t>九原区</w:t>
      </w:r>
      <w:r>
        <w:rPr>
          <w:rFonts w:cs="Times New Roman"/>
          <w:sz w:val="28"/>
          <w:szCs w:val="28"/>
        </w:rPr>
        <w:t>300MW</w:t>
      </w:r>
      <w:r>
        <w:rPr>
          <w:rFonts w:hint="eastAsia" w:cs="Times New Roman"/>
          <w:b/>
          <w:bCs/>
          <w:sz w:val="28"/>
          <w:szCs w:val="28"/>
        </w:rPr>
        <w:t>脱硫废水零排放项目</w:t>
      </w:r>
    </w:p>
    <w:p w14:paraId="36B2D8D9">
      <w:pPr>
        <w:widowControl/>
        <w:adjustRightInd w:val="0"/>
        <w:ind w:firstLine="560" w:firstLineChars="200"/>
        <w:rPr>
          <w:rFonts w:cs="Times New Roman"/>
          <w:sz w:val="28"/>
          <w:szCs w:val="28"/>
        </w:rPr>
      </w:pPr>
      <w:r>
        <w:rPr>
          <w:rFonts w:hint="eastAsia" w:cs="Times New Roman"/>
          <w:sz w:val="28"/>
          <w:szCs w:val="28"/>
        </w:rPr>
        <w:t>新建“两效热法浓缩</w:t>
      </w:r>
      <w:r>
        <w:rPr>
          <w:rFonts w:cs="Times New Roman"/>
          <w:sz w:val="28"/>
          <w:szCs w:val="28"/>
        </w:rPr>
        <w:t>+</w:t>
      </w:r>
      <w:r>
        <w:rPr>
          <w:rFonts w:hint="eastAsia" w:cs="Times New Roman"/>
          <w:sz w:val="28"/>
          <w:szCs w:val="28"/>
        </w:rPr>
        <w:t>旁路烟道蒸发”脱硫废水处理系统。</w:t>
      </w:r>
      <w:r>
        <w:rPr>
          <w:rFonts w:cs="Times New Roman"/>
          <w:sz w:val="28"/>
          <w:szCs w:val="28"/>
        </w:rPr>
        <w:t>2025</w:t>
      </w:r>
      <w:r>
        <w:rPr>
          <w:rFonts w:hint="eastAsia" w:cs="Times New Roman"/>
          <w:sz w:val="28"/>
          <w:szCs w:val="28"/>
        </w:rPr>
        <w:t>年前完成建设项目。</w:t>
      </w:r>
    </w:p>
    <w:p w14:paraId="687DD51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27" w:name="_Toc198652065"/>
      <w:r>
        <w:rPr>
          <w:rFonts w:ascii="Times New Roman" w:hAnsi="Times New Roman" w:eastAsia="黑体" w:cs="Times New Roman"/>
          <w:b w:val="0"/>
          <w:bCs w:val="0"/>
          <w:kern w:val="0"/>
          <w:sz w:val="28"/>
          <w:szCs w:val="28"/>
        </w:rPr>
        <w:t>4.</w:t>
      </w:r>
      <w:r>
        <w:rPr>
          <w:rFonts w:hint="eastAsia" w:ascii="Times New Roman" w:hAnsi="Times New Roman" w:eastAsia="黑体" w:cs="Times New Roman"/>
          <w:b w:val="0"/>
          <w:bCs w:val="0"/>
          <w:kern w:val="0"/>
          <w:sz w:val="28"/>
          <w:szCs w:val="28"/>
        </w:rPr>
        <w:t>7</w:t>
      </w:r>
      <w:r>
        <w:rPr>
          <w:rFonts w:ascii="Times New Roman" w:hAnsi="Times New Roman" w:eastAsia="黑体" w:cs="Times New Roman"/>
          <w:b w:val="0"/>
          <w:bCs w:val="0"/>
          <w:kern w:val="0"/>
          <w:sz w:val="28"/>
          <w:szCs w:val="28"/>
        </w:rPr>
        <w:t>灌溉供水保障体系建设</w:t>
      </w:r>
      <w:bookmarkEnd w:id="118"/>
      <w:bookmarkEnd w:id="119"/>
      <w:bookmarkEnd w:id="120"/>
      <w:bookmarkEnd w:id="127"/>
    </w:p>
    <w:p w14:paraId="40DA5BA6">
      <w:pPr>
        <w:widowControl/>
        <w:adjustRightInd w:val="0"/>
        <w:ind w:firstLine="560" w:firstLineChars="200"/>
        <w:rPr>
          <w:rFonts w:cs="Times New Roman"/>
          <w:sz w:val="28"/>
          <w:szCs w:val="28"/>
        </w:rPr>
      </w:pPr>
      <w:r>
        <w:rPr>
          <w:rFonts w:hint="eastAsia" w:cs="Times New Roman"/>
          <w:sz w:val="28"/>
          <w:szCs w:val="28"/>
        </w:rPr>
        <w:t>准确把握节水是根本出路，按照灌区现代化改造和高标准农田建设要求，以提升农业用水效率、提高供水保障水平、保障粮食安全为目标，遵循以水定地原则，以加强九原区农业节水、提高农业用水效率为重点，实施中型灌区（三湖河灌区）升级改造、地下水源置换、推广高效节水模式等措施，促进农业高质量发展。结合灌溉水源条件，通过灌区续建配套与改造，优化灌溉取水口及渠系布局，有机衔接灌排骨干工程与田间工程建设，提升灌溉水利用率。通过灌区提升改造及水源置换等方式，解决地下水过度开采的问题，优化水资源调配方案提升灌区农业用水保障程度。同时优化调整种植结构，发展特色农牧业和现代产业园区发展集成水肥一体化智能灌溉系统，推广高效节水灌溉新模式，至2035年，灌溉水利用系数提升至0.7。从管理制度上，灌溉用水精细化、田间灌溉智能化管理建立农业水权市场化交易、合同节水管理等制度机制。形成与农业现代化建设进程相适应的全区农牧业灌溉水利保障新格局。</w:t>
      </w:r>
    </w:p>
    <w:p w14:paraId="7A906536">
      <w:pPr>
        <w:widowControl/>
        <w:adjustRightInd w:val="0"/>
        <w:ind w:firstLine="560" w:firstLineChars="200"/>
        <w:rPr>
          <w:rFonts w:cs="Times New Roman"/>
          <w:sz w:val="28"/>
          <w:szCs w:val="28"/>
        </w:rPr>
      </w:pPr>
      <w:r>
        <w:rPr>
          <w:rFonts w:hint="eastAsia" w:cs="Times New Roman"/>
          <w:sz w:val="28"/>
          <w:szCs w:val="28"/>
        </w:rPr>
        <w:t>规划2025年完成对三湖河中型灌区灌区续建配套与现代化改造，改造任务主要包含渠首建筑物、配套建筑物、以及部分沟渠改造。规划2026-2035年完成三湖河盐碱地的排水系统改造。规划2035年三湖河灌区实现灌区数字孪生。</w:t>
      </w:r>
    </w:p>
    <w:p w14:paraId="3E65F24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28" w:name="_Toc198652066"/>
      <w:r>
        <w:rPr>
          <w:rFonts w:ascii="Times New Roman" w:hAnsi="Times New Roman" w:eastAsia="黑体" w:cs="Times New Roman"/>
          <w:b w:val="0"/>
          <w:bCs w:val="0"/>
          <w:kern w:val="0"/>
          <w:sz w:val="28"/>
          <w:szCs w:val="28"/>
        </w:rPr>
        <w:t>4.</w:t>
      </w:r>
      <w:r>
        <w:rPr>
          <w:rFonts w:hint="eastAsia" w:ascii="Times New Roman" w:hAnsi="Times New Roman" w:eastAsia="黑体" w:cs="Times New Roman"/>
          <w:b w:val="0"/>
          <w:bCs w:val="0"/>
          <w:kern w:val="0"/>
          <w:sz w:val="28"/>
          <w:szCs w:val="28"/>
        </w:rPr>
        <w:t>8</w:t>
      </w:r>
      <w:r>
        <w:rPr>
          <w:rFonts w:ascii="Times New Roman" w:hAnsi="Times New Roman" w:eastAsia="黑体" w:cs="Times New Roman"/>
          <w:b w:val="0"/>
          <w:bCs w:val="0"/>
          <w:kern w:val="0"/>
          <w:sz w:val="28"/>
          <w:szCs w:val="28"/>
        </w:rPr>
        <w:t>生态供水保障体系建设</w:t>
      </w:r>
      <w:bookmarkEnd w:id="128"/>
    </w:p>
    <w:p w14:paraId="667EA77C">
      <w:pPr>
        <w:widowControl/>
        <w:adjustRightInd w:val="0"/>
        <w:ind w:firstLine="560" w:firstLineChars="200"/>
        <w:rPr>
          <w:rFonts w:cs="Times New Roman"/>
          <w:sz w:val="28"/>
          <w:szCs w:val="28"/>
        </w:rPr>
      </w:pPr>
      <w:r>
        <w:rPr>
          <w:rFonts w:cs="Times New Roman"/>
          <w:sz w:val="28"/>
          <w:szCs w:val="28"/>
        </w:rPr>
        <w:t>按照河湖生态环境复苏和地下水超采治理的要求，根据生态流量（水量）目标、地下水管控指标，分别制定生态供水保障方案。</w:t>
      </w:r>
    </w:p>
    <w:p w14:paraId="593B5FB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强化河道外用水管控</w:t>
      </w:r>
    </w:p>
    <w:p w14:paraId="34156323">
      <w:pPr>
        <w:widowControl/>
        <w:adjustRightInd w:val="0"/>
        <w:ind w:firstLine="560" w:firstLineChars="200"/>
        <w:rPr>
          <w:rFonts w:cs="Times New Roman"/>
          <w:sz w:val="28"/>
          <w:szCs w:val="28"/>
        </w:rPr>
      </w:pPr>
      <w:r>
        <w:rPr>
          <w:rFonts w:cs="Times New Roman"/>
          <w:sz w:val="28"/>
          <w:szCs w:val="28"/>
        </w:rPr>
        <w:t>贯彻落实“以水定城、以水定地、以水定人、以水定产”原则，深度开展节水控水，合理控制水资源开发利用强度，严格用水总量和用水效率双控。对于</w:t>
      </w:r>
      <w:r>
        <w:rPr>
          <w:rFonts w:hint="eastAsia" w:cs="Times New Roman"/>
          <w:sz w:val="28"/>
          <w:szCs w:val="28"/>
        </w:rPr>
        <w:t>九原区</w:t>
      </w:r>
      <w:r>
        <w:rPr>
          <w:rFonts w:cs="Times New Roman"/>
          <w:sz w:val="28"/>
          <w:szCs w:val="28"/>
        </w:rPr>
        <w:t>，综合考虑本地水资源匮乏、生态保护需求、社会经济发展等因素，基于“三生用水”的基础上，有效保障本地区重点河湖生态用水需求，全面加强节水、强化用水需求侧管理，稳步压减不合理社会经济用水需求，严格控制地表水资源开发利用率，通过重大水资源配置工程实施社会经济用水水源调整和置换措施，稳步退减被挤占的河道内生态用水。</w:t>
      </w:r>
    </w:p>
    <w:p w14:paraId="6F063B88">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实施生态补水工程</w:t>
      </w:r>
    </w:p>
    <w:p w14:paraId="0D40B99B">
      <w:pPr>
        <w:widowControl/>
        <w:adjustRightInd w:val="0"/>
        <w:ind w:firstLine="560" w:firstLineChars="200"/>
        <w:rPr>
          <w:rFonts w:cs="Times New Roman"/>
          <w:sz w:val="28"/>
          <w:szCs w:val="28"/>
        </w:rPr>
      </w:pPr>
      <w:r>
        <w:rPr>
          <w:rFonts w:cs="Times New Roman"/>
          <w:sz w:val="28"/>
          <w:szCs w:val="28"/>
        </w:rPr>
        <w:t>针对昆都仑河</w:t>
      </w:r>
      <w:r>
        <w:rPr>
          <w:rFonts w:hint="eastAsia" w:cs="Times New Roman"/>
          <w:sz w:val="28"/>
          <w:szCs w:val="28"/>
        </w:rPr>
        <w:t>九原区段</w:t>
      </w:r>
      <w:r>
        <w:rPr>
          <w:rFonts w:cs="Times New Roman"/>
          <w:sz w:val="28"/>
          <w:szCs w:val="28"/>
        </w:rPr>
        <w:t>、四道沙</w:t>
      </w:r>
      <w:r>
        <w:rPr>
          <w:rFonts w:hint="eastAsia" w:cs="Times New Roman"/>
          <w:sz w:val="28"/>
          <w:szCs w:val="28"/>
        </w:rPr>
        <w:t>河九原区段</w:t>
      </w:r>
      <w:r>
        <w:rPr>
          <w:rFonts w:cs="Times New Roman"/>
          <w:sz w:val="28"/>
          <w:szCs w:val="28"/>
        </w:rPr>
        <w:t>等重点河湖，统筹重点河湖生</w:t>
      </w:r>
      <w:r>
        <w:rPr>
          <w:rFonts w:hint="eastAsia" w:cs="Times New Roman"/>
          <w:sz w:val="28"/>
          <w:szCs w:val="28"/>
        </w:rPr>
        <w:t>态保护用水需求与生态补水水源可能性关系，科学论证重点河湖生态补水量。</w:t>
      </w:r>
    </w:p>
    <w:p w14:paraId="071D290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hint="eastAsia" w:cs="Times New Roman"/>
          <w:b/>
          <w:bCs/>
          <w:sz w:val="28"/>
          <w:szCs w:val="28"/>
        </w:rPr>
        <w:t>推动地下水综合治理</w:t>
      </w:r>
    </w:p>
    <w:p w14:paraId="63FA74AA">
      <w:pPr>
        <w:widowControl/>
        <w:adjustRightInd w:val="0"/>
        <w:ind w:firstLine="560" w:firstLineChars="200"/>
        <w:rPr>
          <w:rFonts w:cs="Times New Roman"/>
          <w:sz w:val="28"/>
          <w:szCs w:val="28"/>
        </w:rPr>
        <w:sectPr>
          <w:headerReference r:id="rId13" w:type="default"/>
          <w:pgSz w:w="11906" w:h="16838"/>
          <w:pgMar w:top="1440" w:right="1800" w:bottom="1440" w:left="1800" w:header="851" w:footer="992" w:gutter="0"/>
          <w:cols w:space="425" w:num="1"/>
          <w:docGrid w:type="lines" w:linePitch="312" w:charSpace="0"/>
        </w:sectPr>
      </w:pPr>
      <w:r>
        <w:rPr>
          <w:rFonts w:hint="eastAsia" w:cs="Times New Roman"/>
          <w:sz w:val="28"/>
          <w:szCs w:val="28"/>
        </w:rPr>
        <w:t>贯彻落实《地下水管理条例》，按照地下水治理与保护要求，结合区域地下水取水总量、水位控制指标，通过水源置换等治理措施，保障地下水实现采补平衡。对于九原区，通过本地地表水、沿黄河改建和扩建工程，置换地下水城镇生活与工业地下水开采量，持续巩固地下水水源地及其地下水超采治理成效。</w:t>
      </w:r>
    </w:p>
    <w:p w14:paraId="2B3670CF">
      <w:pPr>
        <w:pStyle w:val="2"/>
        <w:widowControl/>
        <w:adjustRightInd w:val="0"/>
        <w:spacing w:before="0" w:after="0" w:line="360" w:lineRule="auto"/>
        <w:jc w:val="left"/>
        <w:rPr>
          <w:rFonts w:eastAsia="黑体" w:cs="Times New Roman"/>
          <w:b w:val="0"/>
          <w:bCs w:val="0"/>
          <w:color w:val="000000" w:themeColor="text1"/>
          <w:sz w:val="32"/>
          <w:szCs w:val="48"/>
          <w14:textFill>
            <w14:solidFill>
              <w14:schemeClr w14:val="tx1"/>
            </w14:solidFill>
          </w14:textFill>
        </w:rPr>
      </w:pPr>
      <w:bookmarkStart w:id="129" w:name="_Toc191387432"/>
      <w:bookmarkStart w:id="130" w:name="_Toc198652067"/>
      <w:bookmarkStart w:id="131" w:name="_Hlk184198446"/>
      <w:r>
        <w:rPr>
          <w:rFonts w:hint="eastAsia" w:eastAsia="黑体" w:cs="Times New Roman"/>
          <w:b w:val="0"/>
          <w:bCs w:val="0"/>
          <w:color w:val="000000" w:themeColor="text1"/>
          <w:sz w:val="32"/>
          <w:szCs w:val="48"/>
          <w14:textFill>
            <w14:solidFill>
              <w14:schemeClr w14:val="tx1"/>
            </w14:solidFill>
          </w14:textFill>
        </w:rPr>
        <w:t>5构建灌溉排水网</w:t>
      </w:r>
      <w:bookmarkEnd w:id="129"/>
      <w:bookmarkEnd w:id="130"/>
    </w:p>
    <w:p w14:paraId="62928E96">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32" w:name="_Toc198652068"/>
      <w:bookmarkStart w:id="133" w:name="_Toc191387433"/>
      <w:r>
        <w:rPr>
          <w:rFonts w:hint="eastAsia" w:ascii="Times New Roman" w:hAnsi="Times New Roman" w:eastAsia="黑体" w:cs="Times New Roman"/>
          <w:b w:val="0"/>
          <w:bCs w:val="0"/>
          <w:kern w:val="0"/>
          <w:sz w:val="28"/>
          <w:szCs w:val="28"/>
        </w:rPr>
        <w:t>5.1建设思路</w:t>
      </w:r>
      <w:bookmarkEnd w:id="132"/>
      <w:bookmarkEnd w:id="133"/>
    </w:p>
    <w:p w14:paraId="2B750515">
      <w:pPr>
        <w:widowControl/>
        <w:adjustRightInd w:val="0"/>
        <w:ind w:firstLine="560" w:firstLineChars="200"/>
        <w:rPr>
          <w:rFonts w:cs="Times New Roman"/>
          <w:sz w:val="28"/>
          <w:szCs w:val="28"/>
        </w:rPr>
      </w:pPr>
      <w:bookmarkStart w:id="134" w:name="OLE_LINK7"/>
      <w:r>
        <w:rPr>
          <w:rFonts w:cs="Times New Roman"/>
          <w:sz w:val="28"/>
          <w:szCs w:val="28"/>
        </w:rPr>
        <w:t>针对</w:t>
      </w:r>
      <w:r>
        <w:rPr>
          <w:rFonts w:hint="eastAsia" w:cs="Times New Roman"/>
          <w:sz w:val="28"/>
          <w:szCs w:val="28"/>
        </w:rPr>
        <w:t>九原区</w:t>
      </w:r>
      <w:r>
        <w:rPr>
          <w:rFonts w:cs="Times New Roman"/>
          <w:sz w:val="28"/>
          <w:szCs w:val="28"/>
        </w:rPr>
        <w:t>水资源</w:t>
      </w:r>
      <w:r>
        <w:rPr>
          <w:rFonts w:hint="eastAsia" w:cs="Times New Roman"/>
          <w:sz w:val="28"/>
          <w:szCs w:val="28"/>
        </w:rPr>
        <w:t>情况</w:t>
      </w:r>
      <w:r>
        <w:rPr>
          <w:rFonts w:cs="Times New Roman"/>
          <w:sz w:val="28"/>
          <w:szCs w:val="28"/>
        </w:rPr>
        <w:t>，结合</w:t>
      </w:r>
      <w:r>
        <w:rPr>
          <w:rFonts w:hint="eastAsia" w:cs="Times New Roman"/>
          <w:sz w:val="28"/>
          <w:szCs w:val="28"/>
        </w:rPr>
        <w:t>九原区</w:t>
      </w:r>
      <w:r>
        <w:rPr>
          <w:rFonts w:cs="Times New Roman"/>
          <w:sz w:val="28"/>
          <w:szCs w:val="28"/>
        </w:rPr>
        <w:t>农业灌溉现状，聚焦整体发展战略和保障粮食安全目标，坚持节水优先、高效利用、量水而行，以水资源节约保护、高效利用为核心，开源节流并重，持续推进农业灌溉设施更新改造，不断完善灌排工程体系、提升农业用水效率。加强灌溉水源工程建设，不断提高灌溉保障能力；持续加强农业灌溉设施续建配套与现代化建设改造，提高灌溉效率，不断夯实保障粮食安全的水利根基。</w:t>
      </w:r>
    </w:p>
    <w:bookmarkEnd w:id="134"/>
    <w:p w14:paraId="4350C262">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35" w:name="_Toc191387434"/>
      <w:bookmarkStart w:id="136" w:name="_Toc198652069"/>
      <w:r>
        <w:rPr>
          <w:rFonts w:hint="eastAsia" w:ascii="Times New Roman" w:hAnsi="Times New Roman" w:eastAsia="黑体" w:cs="Times New Roman"/>
          <w:b w:val="0"/>
          <w:bCs w:val="0"/>
          <w:kern w:val="0"/>
          <w:sz w:val="28"/>
          <w:szCs w:val="28"/>
        </w:rPr>
        <w:t>5.2灌溉水源工程</w:t>
      </w:r>
      <w:bookmarkEnd w:id="135"/>
      <w:r>
        <w:rPr>
          <w:rFonts w:hint="eastAsia" w:ascii="Times New Roman" w:hAnsi="Times New Roman" w:eastAsia="黑体" w:cs="Times New Roman"/>
          <w:b w:val="0"/>
          <w:bCs w:val="0"/>
          <w:kern w:val="0"/>
          <w:sz w:val="28"/>
          <w:szCs w:val="28"/>
        </w:rPr>
        <w:t>现状建设情况</w:t>
      </w:r>
      <w:bookmarkEnd w:id="136"/>
    </w:p>
    <w:p w14:paraId="2346B33E">
      <w:pPr>
        <w:widowControl/>
        <w:adjustRightInd w:val="0"/>
        <w:ind w:firstLine="560" w:firstLineChars="200"/>
        <w:rPr>
          <w:rFonts w:cs="Times New Roman"/>
          <w:sz w:val="28"/>
          <w:szCs w:val="28"/>
        </w:rPr>
      </w:pPr>
      <w:r>
        <w:rPr>
          <w:rFonts w:hint="eastAsia" w:cs="Times New Roman"/>
          <w:sz w:val="28"/>
          <w:szCs w:val="28"/>
        </w:rPr>
        <w:t>九原区的农田水利工程主要为地表水和地下水工程，地表水为三湖河中型灌区，黄河水由泵站取水、地下水由机电井取水。</w:t>
      </w:r>
    </w:p>
    <w:p w14:paraId="40030FA6">
      <w:pPr>
        <w:widowControl/>
        <w:adjustRightInd w:val="0"/>
        <w:ind w:firstLine="560" w:firstLineChars="200"/>
        <w:rPr>
          <w:rFonts w:cs="Times New Roman"/>
          <w:sz w:val="28"/>
          <w:szCs w:val="28"/>
        </w:rPr>
      </w:pPr>
      <w:r>
        <w:rPr>
          <w:rFonts w:hint="eastAsia" w:cs="Times New Roman"/>
          <w:sz w:val="28"/>
          <w:szCs w:val="28"/>
        </w:rPr>
        <w:t>据2011-2023年统计资料，全区累计节水灌溉工程面积达到28.02万亩，其中：渠道衬砌工程15.02万亩，管道灌溉工程6.97万亩，滴灌工程6.01万亩，节水灌溉率达到86.53%；农灌机电井3358眼。</w:t>
      </w:r>
    </w:p>
    <w:p w14:paraId="79A0D483">
      <w:pPr>
        <w:pStyle w:val="4"/>
        <w:widowControl/>
        <w:adjustRightInd w:val="0"/>
        <w:spacing w:before="0" w:after="0" w:line="360" w:lineRule="auto"/>
        <w:jc w:val="left"/>
        <w:rPr>
          <w:rFonts w:eastAsia="黑体" w:cs="Times New Roman"/>
          <w:b w:val="0"/>
          <w:bCs w:val="0"/>
          <w:kern w:val="0"/>
          <w:sz w:val="28"/>
          <w:szCs w:val="28"/>
        </w:rPr>
      </w:pPr>
      <w:bookmarkStart w:id="137" w:name="_Toc198652070"/>
      <w:r>
        <w:rPr>
          <w:rFonts w:hint="eastAsia" w:eastAsia="黑体" w:cs="Times New Roman"/>
          <w:b w:val="0"/>
          <w:bCs w:val="0"/>
          <w:kern w:val="0"/>
          <w:sz w:val="28"/>
          <w:szCs w:val="28"/>
        </w:rPr>
        <w:t>5.2.1三湖河中型灌区</w:t>
      </w:r>
      <w:bookmarkEnd w:id="137"/>
    </w:p>
    <w:p w14:paraId="70812D84">
      <w:pPr>
        <w:widowControl/>
        <w:adjustRightInd w:val="0"/>
        <w:ind w:firstLine="560" w:firstLineChars="200"/>
        <w:rPr>
          <w:rFonts w:cs="Times New Roman"/>
          <w:sz w:val="28"/>
          <w:szCs w:val="28"/>
        </w:rPr>
      </w:pPr>
      <w:r>
        <w:rPr>
          <w:rFonts w:hint="eastAsia" w:cs="Times New Roman"/>
          <w:sz w:val="28"/>
          <w:szCs w:val="28"/>
        </w:rPr>
        <w:t>九原区共有中型灌区1座，耕地灌溉面积10.8万亩，占九原区现状耕地灌溉面积的27.8%。灌区始建于二十世纪五十年代，过去是从巴盟前旗的白彦花分水闸分水，经公济、东大、公益三条支渠输水。自1998年开始，三湖河灌区建立了哈业扬水灌区泵站、全巴兔扬水泵站，直接从黄河提水。经过10多年的运行，状态良好，水源有保证。灌区农业经济以粮食为主，蔬菜为辅，主要农作物品种有小麦、玉米、葵花等。现状粮食单产：小麦300kg/亩、玉米450kg/亩，葵花200kg/亩。</w:t>
      </w:r>
    </w:p>
    <w:p w14:paraId="082A5296">
      <w:pPr>
        <w:widowControl/>
        <w:adjustRightInd w:val="0"/>
        <w:ind w:firstLine="560" w:firstLineChars="200"/>
        <w:rPr>
          <w:rFonts w:cs="Times New Roman"/>
          <w:sz w:val="28"/>
          <w:szCs w:val="28"/>
        </w:rPr>
      </w:pPr>
      <w:r>
        <w:rPr>
          <w:rFonts w:hint="eastAsia" w:cs="Times New Roman"/>
          <w:sz w:val="28"/>
          <w:szCs w:val="28"/>
        </w:rPr>
        <w:t>依据三调数据，九原区三湖河中型灌区现状灌溉面积为名录的设计灌溉面积，结合发展需求，中型灌区规划设计灌溉面积见表5-1。</w:t>
      </w:r>
    </w:p>
    <w:p w14:paraId="3142784D">
      <w:pPr>
        <w:adjustRightInd w:val="0"/>
        <w:spacing w:line="240" w:lineRule="auto"/>
        <w:jc w:val="center"/>
        <w:rPr>
          <w:rFonts w:cs="Times New Roman"/>
          <w:b/>
          <w:bCs/>
        </w:rPr>
      </w:pPr>
      <w:r>
        <w:rPr>
          <w:rFonts w:cs="Times New Roman"/>
          <w:b/>
          <w:bCs/>
        </w:rPr>
        <w:t>表</w:t>
      </w:r>
      <w:r>
        <w:rPr>
          <w:rFonts w:hint="eastAsia" w:cs="Times New Roman"/>
          <w:b/>
          <w:bCs/>
        </w:rPr>
        <w:t>5</w:t>
      </w:r>
      <w:r>
        <w:rPr>
          <w:rFonts w:cs="Times New Roman"/>
          <w:b/>
          <w:bCs/>
        </w:rPr>
        <w:t>-1</w:t>
      </w:r>
      <w:r>
        <w:rPr>
          <w:rFonts w:hint="eastAsia" w:cs="Times New Roman"/>
          <w:b/>
          <w:bCs/>
        </w:rPr>
        <w:t xml:space="preserve">  三湖河中型灌区  万亩</w:t>
      </w:r>
    </w:p>
    <w:tbl>
      <w:tblPr>
        <w:tblStyle w:val="19"/>
        <w:tblW w:w="4998" w:type="pct"/>
        <w:jc w:val="center"/>
        <w:tblLayout w:type="autofit"/>
        <w:tblCellMar>
          <w:top w:w="0" w:type="dxa"/>
          <w:left w:w="108" w:type="dxa"/>
          <w:bottom w:w="0" w:type="dxa"/>
          <w:right w:w="108" w:type="dxa"/>
        </w:tblCellMar>
      </w:tblPr>
      <w:tblGrid>
        <w:gridCol w:w="1883"/>
        <w:gridCol w:w="1882"/>
        <w:gridCol w:w="1882"/>
        <w:gridCol w:w="2872"/>
      </w:tblGrid>
      <w:tr w14:paraId="23251923">
        <w:tblPrEx>
          <w:tblCellMar>
            <w:top w:w="0" w:type="dxa"/>
            <w:left w:w="108" w:type="dxa"/>
            <w:bottom w:w="0" w:type="dxa"/>
            <w:right w:w="108" w:type="dxa"/>
          </w:tblCellMar>
        </w:tblPrEx>
        <w:trPr>
          <w:jc w:val="center"/>
        </w:trPr>
        <w:tc>
          <w:tcPr>
            <w:tcW w:w="1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B720E">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名称</w:t>
            </w:r>
          </w:p>
        </w:tc>
        <w:tc>
          <w:tcPr>
            <w:tcW w:w="1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380D1">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灌区规模</w:t>
            </w:r>
          </w:p>
        </w:tc>
        <w:tc>
          <w:tcPr>
            <w:tcW w:w="1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1A3F9">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灌溉面积</w:t>
            </w:r>
          </w:p>
        </w:tc>
        <w:tc>
          <w:tcPr>
            <w:tcW w:w="2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C5D54">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设计灌溉面积（万亩）</w:t>
            </w:r>
          </w:p>
        </w:tc>
      </w:tr>
      <w:tr w14:paraId="3806807B">
        <w:tblPrEx>
          <w:tblCellMar>
            <w:top w:w="0" w:type="dxa"/>
            <w:left w:w="108" w:type="dxa"/>
            <w:bottom w:w="0" w:type="dxa"/>
            <w:right w:w="108" w:type="dxa"/>
          </w:tblCellMar>
        </w:tblPrEx>
        <w:trPr>
          <w:jc w:val="center"/>
        </w:trPr>
        <w:tc>
          <w:tcPr>
            <w:tcW w:w="1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22157">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三湖河</w:t>
            </w:r>
          </w:p>
        </w:tc>
        <w:tc>
          <w:tcPr>
            <w:tcW w:w="1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5E757">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重点中型灌区</w:t>
            </w:r>
          </w:p>
        </w:tc>
        <w:tc>
          <w:tcPr>
            <w:tcW w:w="1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8BB31">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10.8</w:t>
            </w:r>
          </w:p>
        </w:tc>
        <w:tc>
          <w:tcPr>
            <w:tcW w:w="2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1FE54">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10.8</w:t>
            </w:r>
          </w:p>
        </w:tc>
      </w:tr>
    </w:tbl>
    <w:p w14:paraId="5F55B7C4">
      <w:pPr>
        <w:pStyle w:val="4"/>
        <w:widowControl/>
        <w:adjustRightInd w:val="0"/>
        <w:spacing w:before="156" w:beforeLines="50" w:after="0" w:line="360" w:lineRule="auto"/>
        <w:jc w:val="left"/>
        <w:rPr>
          <w:rFonts w:eastAsia="黑体" w:cs="Times New Roman"/>
          <w:b w:val="0"/>
          <w:bCs w:val="0"/>
          <w:kern w:val="0"/>
          <w:sz w:val="28"/>
          <w:szCs w:val="28"/>
        </w:rPr>
      </w:pPr>
      <w:bookmarkStart w:id="138" w:name="_Toc198652071"/>
      <w:r>
        <w:rPr>
          <w:rFonts w:hint="eastAsia" w:eastAsia="黑体" w:cs="Times New Roman"/>
          <w:b w:val="0"/>
          <w:bCs w:val="0"/>
          <w:kern w:val="0"/>
          <w:sz w:val="28"/>
          <w:szCs w:val="28"/>
        </w:rPr>
        <w:t>5.2.2小型农田灌溉情况</w:t>
      </w:r>
      <w:bookmarkEnd w:id="138"/>
    </w:p>
    <w:p w14:paraId="01E78491">
      <w:pPr>
        <w:widowControl/>
        <w:adjustRightInd w:val="0"/>
        <w:ind w:firstLine="560" w:firstLineChars="200"/>
        <w:rPr>
          <w:rFonts w:cs="Times New Roman"/>
          <w:sz w:val="28"/>
          <w:szCs w:val="28"/>
        </w:rPr>
      </w:pPr>
      <w:r>
        <w:rPr>
          <w:rFonts w:hint="eastAsia" w:cs="Times New Roman"/>
          <w:sz w:val="28"/>
          <w:szCs w:val="28"/>
        </w:rPr>
        <w:t>小型农田灌溉集中在九原区阿嘎如泰苏木、萨如拉办事处、哈林格尔镇，麻池镇，灌溉面积15.15万亩，耕地灌溉面积15.15万亩，耕地实灌面积15.15万亩，灌溉水利用系数约为0.67。</w:t>
      </w:r>
    </w:p>
    <w:p w14:paraId="0FE71E27">
      <w:pPr>
        <w:pStyle w:val="4"/>
        <w:widowControl/>
        <w:adjustRightInd w:val="0"/>
        <w:spacing w:before="0" w:after="0" w:line="360" w:lineRule="auto"/>
        <w:jc w:val="left"/>
        <w:rPr>
          <w:rFonts w:eastAsia="黑体" w:cs="Times New Roman"/>
          <w:b w:val="0"/>
          <w:bCs w:val="0"/>
          <w:kern w:val="0"/>
          <w:sz w:val="28"/>
          <w:szCs w:val="28"/>
        </w:rPr>
      </w:pPr>
      <w:bookmarkStart w:id="139" w:name="_Toc198652072"/>
      <w:r>
        <w:rPr>
          <w:rFonts w:hint="eastAsia" w:eastAsia="黑体" w:cs="Times New Roman"/>
          <w:b w:val="0"/>
          <w:bCs w:val="0"/>
          <w:kern w:val="0"/>
          <w:sz w:val="28"/>
          <w:szCs w:val="28"/>
        </w:rPr>
        <w:t>5.2.3农田水利设施</w:t>
      </w:r>
      <w:bookmarkEnd w:id="139"/>
    </w:p>
    <w:p w14:paraId="7F3F849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三湖河灌区</w:t>
      </w:r>
    </w:p>
    <w:p w14:paraId="46BD4A4D">
      <w:pPr>
        <w:adjustRightInd w:val="0"/>
        <w:ind w:firstLine="562" w:firstLineChars="200"/>
        <w:rPr>
          <w:rFonts w:cs="Times New Roman"/>
          <w:b/>
          <w:bCs/>
          <w:sz w:val="28"/>
          <w:szCs w:val="28"/>
        </w:rPr>
      </w:pPr>
      <w:r>
        <w:rPr>
          <w:rFonts w:hint="eastAsia" w:cs="Times New Roman"/>
          <w:b/>
          <w:bCs/>
          <w:sz w:val="28"/>
          <w:szCs w:val="28"/>
        </w:rPr>
        <w:t>①泵站泵船</w:t>
      </w:r>
    </w:p>
    <w:p w14:paraId="79306128">
      <w:pPr>
        <w:widowControl/>
        <w:adjustRightInd w:val="0"/>
        <w:ind w:firstLine="560" w:firstLineChars="200"/>
        <w:rPr>
          <w:rFonts w:cs="Times New Roman"/>
          <w:sz w:val="28"/>
          <w:szCs w:val="28"/>
        </w:rPr>
      </w:pPr>
      <w:r>
        <w:rPr>
          <w:rFonts w:hint="eastAsia" w:cs="Times New Roman"/>
          <w:sz w:val="28"/>
          <w:szCs w:val="28"/>
        </w:rPr>
        <w:t>三湖河灌区供水工程灌溉水源由2艘渠首泵船从黄河取水：即哈业胡同渠首泵船和全巴图渠首泵船，建于1999年，经过二十多年的运行，钢质泵船锈蚀破损严重，船舱漏水，水泵年久失修，故障频发，泵管腐烂漏水。其中全巴图渠首泵船除托管浮箱外，泵船、泵管、水泵及其他设备已于2021年5月更新，2023年实施的续建工程更新了哈业胡同渠首泵船和全巴图托管船，并对泵站供电系统进行升级改造。</w:t>
      </w:r>
    </w:p>
    <w:p w14:paraId="1A1C8C36">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w:t>
      </w:r>
      <w:r>
        <w:rPr>
          <w:rFonts w:cs="Times New Roman"/>
          <w:sz w:val="28"/>
          <w:szCs w:val="28"/>
        </w:rPr>
        <w:fldChar w:fldCharType="end"/>
      </w:r>
      <w:r>
        <w:rPr>
          <w:rFonts w:hint="eastAsia" w:cs="Times New Roman"/>
          <w:sz w:val="28"/>
          <w:szCs w:val="28"/>
        </w:rPr>
        <w:t>哈业胡同渠首泵船</w:t>
      </w:r>
    </w:p>
    <w:p w14:paraId="3BFB9058">
      <w:pPr>
        <w:widowControl/>
        <w:adjustRightInd w:val="0"/>
        <w:ind w:firstLine="560" w:firstLineChars="200"/>
        <w:rPr>
          <w:rFonts w:cs="Times New Roman"/>
          <w:sz w:val="28"/>
          <w:szCs w:val="28"/>
        </w:rPr>
      </w:pPr>
      <w:r>
        <w:rPr>
          <w:rFonts w:hint="eastAsia" w:cs="Times New Roman"/>
          <w:sz w:val="28"/>
          <w:szCs w:val="28"/>
        </w:rPr>
        <w:t>哈业胡同渠首泵船采用浮体式钢质泵船提水，该泵站设计流量为8.7m³/s，设计灌溉面积为7.8万亩。</w:t>
      </w:r>
    </w:p>
    <w:p w14:paraId="1454FDB8">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II</w:t>
      </w:r>
      <w:r>
        <w:rPr>
          <w:rFonts w:cs="Times New Roman"/>
          <w:sz w:val="28"/>
          <w:szCs w:val="28"/>
        </w:rPr>
        <w:fldChar w:fldCharType="end"/>
      </w:r>
      <w:r>
        <w:rPr>
          <w:rFonts w:hint="eastAsia" w:cs="Times New Roman"/>
          <w:sz w:val="28"/>
          <w:szCs w:val="28"/>
        </w:rPr>
        <w:t>全巴图渠首泵船</w:t>
      </w:r>
    </w:p>
    <w:p w14:paraId="6C0C89AC">
      <w:pPr>
        <w:widowControl/>
        <w:adjustRightInd w:val="0"/>
        <w:ind w:firstLine="560" w:firstLineChars="200"/>
        <w:rPr>
          <w:rFonts w:cs="Times New Roman"/>
          <w:sz w:val="28"/>
          <w:szCs w:val="28"/>
        </w:rPr>
      </w:pPr>
      <w:r>
        <w:rPr>
          <w:rFonts w:hint="eastAsia" w:cs="Times New Roman"/>
          <w:sz w:val="28"/>
          <w:szCs w:val="28"/>
        </w:rPr>
        <w:t>全巴图渠首泵船采用浮体式钢制泵船提水，该泵站原设计流量为2.44m³/s，设计灌溉面积为3万亩。</w:t>
      </w:r>
    </w:p>
    <w:p w14:paraId="380A8C36">
      <w:pPr>
        <w:widowControl/>
        <w:adjustRightInd w:val="0"/>
        <w:ind w:firstLine="560"/>
        <w:rPr>
          <w:rFonts w:cs="Times New Roman"/>
          <w:b/>
          <w:bCs/>
          <w:sz w:val="28"/>
          <w:szCs w:val="28"/>
        </w:rPr>
      </w:pPr>
      <w:r>
        <w:rPr>
          <w:rFonts w:hint="eastAsia" w:cs="Times New Roman"/>
          <w:b/>
          <w:bCs/>
          <w:sz w:val="28"/>
          <w:szCs w:val="28"/>
        </w:rPr>
        <w:t>②输配水工程</w:t>
      </w:r>
    </w:p>
    <w:p w14:paraId="27620A07">
      <w:pPr>
        <w:widowControl/>
        <w:adjustRightInd w:val="0"/>
        <w:ind w:firstLine="560" w:firstLineChars="200"/>
        <w:rPr>
          <w:rFonts w:cs="Times New Roman"/>
          <w:sz w:val="28"/>
          <w:szCs w:val="28"/>
        </w:rPr>
      </w:pPr>
      <w:r>
        <w:rPr>
          <w:rFonts w:hint="eastAsia" w:cs="Times New Roman"/>
          <w:sz w:val="28"/>
          <w:szCs w:val="28"/>
        </w:rPr>
        <w:t>三湖河灌区渠系分为3级：干渠、支渠、斗渠，总长度为56.019km，其中干渠长11.341km，支渠长44.678km。</w:t>
      </w:r>
    </w:p>
    <w:p w14:paraId="77277ED3">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w:t>
      </w:r>
      <w:r>
        <w:rPr>
          <w:rFonts w:cs="Times New Roman"/>
          <w:sz w:val="28"/>
          <w:szCs w:val="28"/>
        </w:rPr>
        <w:fldChar w:fldCharType="end"/>
      </w:r>
      <w:r>
        <w:rPr>
          <w:rFonts w:hint="eastAsia" w:cs="Times New Roman"/>
          <w:sz w:val="28"/>
          <w:szCs w:val="28"/>
        </w:rPr>
        <w:t>引水干渠</w:t>
      </w:r>
    </w:p>
    <w:p w14:paraId="28C7D378">
      <w:pPr>
        <w:widowControl/>
        <w:adjustRightInd w:val="0"/>
        <w:ind w:firstLine="560" w:firstLineChars="200"/>
        <w:rPr>
          <w:rFonts w:cs="Times New Roman"/>
          <w:sz w:val="28"/>
          <w:szCs w:val="28"/>
        </w:rPr>
      </w:pPr>
      <w:r>
        <w:rPr>
          <w:rFonts w:hint="eastAsia" w:cs="Times New Roman"/>
          <w:sz w:val="28"/>
          <w:szCs w:val="28"/>
        </w:rPr>
        <w:t>三湖河灌区的引水干渠有2条，分别为哈业胡同扬水站引水干渠和全巴图扬水站引水干渠。哈业胡同干渠长7.705km，全巴图主渠长3.636km，现状已衬砌。</w:t>
      </w:r>
    </w:p>
    <w:p w14:paraId="15086FFF">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II</w:t>
      </w:r>
      <w:r>
        <w:rPr>
          <w:rFonts w:cs="Times New Roman"/>
          <w:sz w:val="28"/>
          <w:szCs w:val="28"/>
        </w:rPr>
        <w:fldChar w:fldCharType="end"/>
      </w:r>
      <w:r>
        <w:rPr>
          <w:rFonts w:hint="eastAsia" w:cs="Times New Roman"/>
          <w:sz w:val="28"/>
          <w:szCs w:val="28"/>
        </w:rPr>
        <w:t>输水支渠</w:t>
      </w:r>
    </w:p>
    <w:p w14:paraId="1769C6F0">
      <w:pPr>
        <w:widowControl/>
        <w:adjustRightInd w:val="0"/>
        <w:ind w:firstLine="560" w:firstLineChars="200"/>
        <w:rPr>
          <w:rFonts w:cs="Times New Roman"/>
          <w:sz w:val="28"/>
          <w:szCs w:val="28"/>
        </w:rPr>
      </w:pPr>
      <w:r>
        <w:rPr>
          <w:rFonts w:hint="eastAsia" w:cs="Times New Roman"/>
          <w:sz w:val="28"/>
          <w:szCs w:val="28"/>
        </w:rPr>
        <w:t>三湖河灌区输水支渠由公益支渠、东大支渠和公济支渠组成，其中全巴图渠首泵船所属公济支渠现已经改名为五一支渠。支渠总长度44.678km，其中公益支渠长度9.951km，东大支渠长度14.156km，公济支渠长度4.825km，五一支渠长度5.746km。</w:t>
      </w:r>
    </w:p>
    <w:p w14:paraId="5001B330">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3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III</w:t>
      </w:r>
      <w:r>
        <w:rPr>
          <w:rFonts w:cs="Times New Roman"/>
          <w:sz w:val="28"/>
          <w:szCs w:val="28"/>
        </w:rPr>
        <w:fldChar w:fldCharType="end"/>
      </w:r>
      <w:r>
        <w:rPr>
          <w:rFonts w:hint="eastAsia" w:cs="Times New Roman"/>
          <w:sz w:val="28"/>
          <w:szCs w:val="28"/>
        </w:rPr>
        <w:t>渠系建筑物及配套设施</w:t>
      </w:r>
    </w:p>
    <w:p w14:paraId="0CB895C2">
      <w:pPr>
        <w:widowControl/>
        <w:adjustRightInd w:val="0"/>
        <w:ind w:firstLine="560" w:firstLineChars="200"/>
        <w:rPr>
          <w:rFonts w:cs="Times New Roman"/>
          <w:sz w:val="28"/>
          <w:szCs w:val="28"/>
        </w:rPr>
      </w:pPr>
      <w:r>
        <w:rPr>
          <w:rFonts w:hint="eastAsia" w:cs="Times New Roman"/>
          <w:sz w:val="28"/>
          <w:szCs w:val="28"/>
        </w:rPr>
        <w:t>三湖河灌区干支渠现有渠系建筑物240座，其中二级扬水泵站4座，节制闸16座，进水闸184座，涵洞桥36座。</w:t>
      </w:r>
    </w:p>
    <w:p w14:paraId="2055FD22">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4 \* ROMAN</w:instrText>
      </w:r>
      <w:r>
        <w:rPr>
          <w:rFonts w:cs="Times New Roman"/>
          <w:sz w:val="28"/>
          <w:szCs w:val="28"/>
        </w:rPr>
        <w:instrText xml:space="preserve"> </w:instrText>
      </w:r>
      <w:r>
        <w:rPr>
          <w:rFonts w:cs="Times New Roman"/>
          <w:sz w:val="28"/>
          <w:szCs w:val="28"/>
        </w:rPr>
        <w:fldChar w:fldCharType="separate"/>
      </w:r>
      <w:r>
        <w:rPr>
          <w:rFonts w:cs="Times New Roman"/>
          <w:sz w:val="28"/>
          <w:szCs w:val="28"/>
        </w:rPr>
        <w:t>IV</w:t>
      </w:r>
      <w:r>
        <w:rPr>
          <w:rFonts w:cs="Times New Roman"/>
          <w:sz w:val="28"/>
          <w:szCs w:val="28"/>
        </w:rPr>
        <w:fldChar w:fldCharType="end"/>
      </w:r>
      <w:r>
        <w:rPr>
          <w:rFonts w:hint="eastAsia" w:cs="Times New Roman"/>
          <w:sz w:val="28"/>
          <w:szCs w:val="28"/>
        </w:rPr>
        <w:t>灌区斗口闸229座，明渠计量设施覆盖率100%。</w:t>
      </w:r>
    </w:p>
    <w:p w14:paraId="3AF577BF">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地下水灌区</w:t>
      </w:r>
    </w:p>
    <w:p w14:paraId="5A9255E1">
      <w:pPr>
        <w:widowControl/>
        <w:adjustRightInd w:val="0"/>
        <w:ind w:firstLine="560" w:firstLineChars="200"/>
        <w:rPr>
          <w:rFonts w:cs="Times New Roman"/>
          <w:sz w:val="28"/>
          <w:szCs w:val="28"/>
        </w:rPr>
      </w:pPr>
      <w:r>
        <w:rPr>
          <w:rFonts w:hint="eastAsia" w:cs="Times New Roman"/>
          <w:sz w:val="28"/>
          <w:szCs w:val="28"/>
        </w:rPr>
        <w:t>灌溉水源井3358眼，机井电井用水40m</w:t>
      </w:r>
      <w:r>
        <w:rPr>
          <w:rFonts w:hint="eastAsia" w:cs="Times New Roman"/>
          <w:sz w:val="28"/>
          <w:szCs w:val="28"/>
          <w:vertAlign w:val="superscript"/>
        </w:rPr>
        <w:t>3</w:t>
      </w:r>
      <w:r>
        <w:rPr>
          <w:rFonts w:hint="eastAsia" w:cs="Times New Roman"/>
          <w:sz w:val="28"/>
          <w:szCs w:val="28"/>
        </w:rPr>
        <w:t>/h左右，井深80-120m现状配备计量设施742套。</w:t>
      </w:r>
    </w:p>
    <w:p w14:paraId="06935135">
      <w:pPr>
        <w:pStyle w:val="4"/>
        <w:widowControl/>
        <w:adjustRightInd w:val="0"/>
        <w:spacing w:before="0" w:after="0" w:line="360" w:lineRule="auto"/>
        <w:jc w:val="left"/>
        <w:rPr>
          <w:rFonts w:eastAsia="黑体" w:cs="Times New Roman"/>
          <w:b w:val="0"/>
          <w:bCs w:val="0"/>
          <w:kern w:val="0"/>
          <w:sz w:val="28"/>
          <w:szCs w:val="28"/>
        </w:rPr>
      </w:pPr>
      <w:bookmarkStart w:id="140" w:name="_Toc198652073"/>
      <w:r>
        <w:rPr>
          <w:rFonts w:hint="eastAsia" w:eastAsia="黑体" w:cs="Times New Roman"/>
          <w:b w:val="0"/>
          <w:bCs w:val="0"/>
          <w:kern w:val="0"/>
          <w:sz w:val="28"/>
          <w:szCs w:val="28"/>
        </w:rPr>
        <w:t>5.2.4排水工程</w:t>
      </w:r>
      <w:bookmarkEnd w:id="140"/>
    </w:p>
    <w:p w14:paraId="798EFC57">
      <w:pPr>
        <w:widowControl/>
        <w:adjustRightInd w:val="0"/>
        <w:ind w:firstLine="560" w:firstLineChars="200"/>
        <w:rPr>
          <w:rFonts w:cs="Times New Roman"/>
          <w:sz w:val="28"/>
          <w:szCs w:val="28"/>
        </w:rPr>
      </w:pPr>
      <w:r>
        <w:rPr>
          <w:rFonts w:hint="eastAsia" w:cs="Times New Roman"/>
          <w:sz w:val="28"/>
          <w:szCs w:val="28"/>
        </w:rPr>
        <w:t>九原区土壤盐碱重，耕地质量低，现状没有排水工程。九原区现有耕地面积38.89万亩，其中盐碱地面积4.5万亩，占总耕地面积的11.57%。在盐碱面积中，轻度1.9万亩，占总耕地面积的5%、中度1.35万亩，占总耕地面积的3.8%、重度1.25万亩，占总耕地面积的3.5%。盐碱化耕地严重制约优质农产品规模化、标准化、现代农业高质量发展。土壤盐碱化不仅对农作物生长发育产生危害，而且使土壤物理性质恶化，地下水矿化度提高，土攘水肥要素互不协调，严重影响农作物产量，以主要种植的玉米为例，非盐碱地平均亩产为650公斤、亩纯收益为750元，而轻度盐碱地平均亩产550公斤、纯收益为650元，中度盐碱地平均亩产350公斤，纯收益为450元，重度盐暗地平均亩产200公斤、亩均纯收益仅为150元。</w:t>
      </w:r>
    </w:p>
    <w:p w14:paraId="53EB531B">
      <w:pPr>
        <w:widowControl/>
        <w:adjustRightInd w:val="0"/>
        <w:ind w:firstLine="560" w:firstLineChars="200"/>
        <w:rPr>
          <w:rFonts w:cs="Times New Roman"/>
          <w:sz w:val="28"/>
          <w:szCs w:val="28"/>
        </w:rPr>
      </w:pPr>
      <w:r>
        <w:rPr>
          <w:rFonts w:hint="eastAsia" w:cs="Times New Roman"/>
          <w:sz w:val="28"/>
          <w:szCs w:val="28"/>
        </w:rPr>
        <w:t>2011年~2020年以来，九原区累计实施农田建设面积32.38万亩。其中：地表水灌区建设面积7.45万亩，井灌区建设面积22.3万亩。但已实施的农田建设项目绝大部分属低水平、低标准配套，亩均投入仅为974元。据测算，达到高标准农田建设标准，亩均需投入2500元左右。目前，已实施的高标准农田建设项目，不同程度存在着田间道路配套不完善、机耕道路建设标准不高现象，难以满足大型、专业化现代农机作业需求，部分项目区农田输配电设施老化、损毁，农田灌溉排涝成本高、效率低，与高标准农田建设标准要求存在差距，改造提升任务艰巨。现有高标准农田无论是数量规模还是质量等级，与农业高质量发展要求不相适应。</w:t>
      </w:r>
    </w:p>
    <w:p w14:paraId="77390DE8">
      <w:pPr>
        <w:widowControl/>
        <w:adjustRightInd w:val="0"/>
        <w:ind w:firstLine="560" w:firstLineChars="200"/>
        <w:rPr>
          <w:rFonts w:cs="Times New Roman"/>
          <w:sz w:val="28"/>
          <w:szCs w:val="28"/>
        </w:rPr>
      </w:pPr>
      <w:r>
        <w:rPr>
          <w:rFonts w:hint="eastAsia" w:cs="Times New Roman"/>
          <w:sz w:val="28"/>
          <w:szCs w:val="28"/>
        </w:rPr>
        <w:t>另外盐碱化会改变土壤的理性特征，影响作物正常生长，降低土壤的有机质含量，影响作物产量。由于盐碱地灌溉区现状没有排水工程，雨季来临，部分低洼地带的形成水泡子，作物减产，造成土地的浪费。为了降低土壤中的盐分，农民利用大水进行漫灌，溶解土壤中的盐分，在一定程度上造成了水资源的浪费。现状引黄灌区无排水通道。</w:t>
      </w:r>
    </w:p>
    <w:p w14:paraId="507C27D3">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41" w:name="_Toc191387435"/>
      <w:bookmarkStart w:id="142" w:name="_Toc198652074"/>
      <w:r>
        <w:rPr>
          <w:rFonts w:hint="eastAsia" w:ascii="Times New Roman" w:hAnsi="Times New Roman" w:eastAsia="黑体" w:cs="Times New Roman"/>
          <w:b w:val="0"/>
          <w:bCs w:val="0"/>
          <w:kern w:val="0"/>
          <w:sz w:val="28"/>
          <w:szCs w:val="28"/>
        </w:rPr>
        <w:t>5.3</w:t>
      </w:r>
      <w:bookmarkStart w:id="143" w:name="_Hlk197594122"/>
      <w:r>
        <w:rPr>
          <w:rFonts w:hint="eastAsia" w:ascii="Times New Roman" w:hAnsi="Times New Roman" w:eastAsia="黑体" w:cs="Times New Roman"/>
          <w:b w:val="0"/>
          <w:bCs w:val="0"/>
          <w:kern w:val="0"/>
          <w:sz w:val="28"/>
          <w:szCs w:val="28"/>
        </w:rPr>
        <w:t>推进灌溉现代化建设和改造</w:t>
      </w:r>
      <w:bookmarkEnd w:id="141"/>
      <w:bookmarkEnd w:id="142"/>
      <w:bookmarkEnd w:id="143"/>
    </w:p>
    <w:p w14:paraId="050F6CEF">
      <w:pPr>
        <w:pStyle w:val="4"/>
        <w:widowControl/>
        <w:adjustRightInd w:val="0"/>
        <w:spacing w:before="0" w:after="0" w:line="360" w:lineRule="auto"/>
        <w:jc w:val="left"/>
        <w:rPr>
          <w:rFonts w:eastAsia="黑体" w:cs="Times New Roman"/>
          <w:b w:val="0"/>
          <w:bCs w:val="0"/>
          <w:kern w:val="0"/>
          <w:sz w:val="28"/>
          <w:szCs w:val="28"/>
        </w:rPr>
      </w:pPr>
      <w:bookmarkStart w:id="144" w:name="_Toc198652075"/>
      <w:r>
        <w:rPr>
          <w:rFonts w:hint="eastAsia" w:eastAsia="黑体" w:cs="Times New Roman"/>
          <w:b w:val="0"/>
          <w:bCs w:val="0"/>
          <w:kern w:val="0"/>
          <w:sz w:val="28"/>
          <w:szCs w:val="28"/>
        </w:rPr>
        <w:t>5.3.1灌区改造原因</w:t>
      </w:r>
      <w:bookmarkEnd w:id="144"/>
    </w:p>
    <w:p w14:paraId="0AB9489D">
      <w:pPr>
        <w:widowControl/>
        <w:adjustRightInd w:val="0"/>
        <w:ind w:firstLine="560" w:firstLineChars="200"/>
        <w:rPr>
          <w:rFonts w:cs="Times New Roman"/>
          <w:sz w:val="28"/>
          <w:szCs w:val="28"/>
        </w:rPr>
      </w:pPr>
      <w:r>
        <w:rPr>
          <w:rFonts w:hint="eastAsia" w:cs="Times New Roman"/>
          <w:sz w:val="28"/>
          <w:szCs w:val="28"/>
        </w:rPr>
        <w:t>九原区农业灌溉工程为地表水灌溉三湖河中型灌区和地下水小型灌区。</w:t>
      </w:r>
    </w:p>
    <w:p w14:paraId="0E22D865">
      <w:pPr>
        <w:widowControl/>
        <w:adjustRightInd w:val="0"/>
        <w:ind w:firstLine="560" w:firstLineChars="200"/>
        <w:rPr>
          <w:rFonts w:cs="Times New Roman"/>
          <w:sz w:val="28"/>
          <w:szCs w:val="28"/>
        </w:rPr>
      </w:pPr>
      <w:r>
        <w:rPr>
          <w:rFonts w:hint="eastAsia" w:cs="Times New Roman"/>
          <w:sz w:val="28"/>
          <w:szCs w:val="28"/>
        </w:rPr>
        <w:t>三湖河中型灌区灌溉工程由哈业胡同渠首泵船、全巴图渠首泵船、南圪堵渠首泵船取水，黄河取水许可为3807万m³/年，其中哈业胡同渠首泵船取水许可为2400万m³/年，全巴图渠首泵船取水许可为1407万m³/年。由于黄河改道，部分河段主槽逐年向南偏移，而南圪堵泵站为轨道式泵站，到2010年时，该泵站已无法从黄河提水。</w:t>
      </w:r>
    </w:p>
    <w:p w14:paraId="300E0674">
      <w:pPr>
        <w:widowControl/>
        <w:adjustRightInd w:val="0"/>
        <w:ind w:firstLine="560" w:firstLineChars="200"/>
        <w:rPr>
          <w:rFonts w:cs="Times New Roman"/>
          <w:sz w:val="28"/>
          <w:szCs w:val="28"/>
        </w:rPr>
      </w:pPr>
      <w:r>
        <w:rPr>
          <w:rFonts w:hint="eastAsia" w:cs="Times New Roman"/>
          <w:sz w:val="28"/>
          <w:szCs w:val="28"/>
        </w:rPr>
        <w:t>2011年，南圪堵泵站废弃。由于黄河取水指标较小，不能满足灌区灌溉用水需求，多年来灌区一直用地下水作为补充水源，实行井黄轮灌。三湖河中型灌区灌溉用水量为3807万m</w:t>
      </w:r>
      <w:r>
        <w:rPr>
          <w:rFonts w:cs="Times New Roman"/>
          <w:sz w:val="28"/>
          <w:szCs w:val="28"/>
          <w:vertAlign w:val="superscript"/>
        </w:rPr>
        <w:t>3</w:t>
      </w:r>
      <w:r>
        <w:rPr>
          <w:rFonts w:hint="eastAsia" w:cs="Times New Roman"/>
          <w:sz w:val="28"/>
          <w:szCs w:val="28"/>
        </w:rPr>
        <w:t>的取用黄河水量，取用1080万m</w:t>
      </w:r>
      <w:r>
        <w:rPr>
          <w:rFonts w:cs="Times New Roman"/>
          <w:sz w:val="28"/>
          <w:szCs w:val="28"/>
          <w:vertAlign w:val="superscript"/>
        </w:rPr>
        <w:t>3</w:t>
      </w:r>
      <w:r>
        <w:rPr>
          <w:rFonts w:hint="eastAsia" w:cs="Times New Roman"/>
          <w:sz w:val="28"/>
          <w:szCs w:val="28"/>
        </w:rPr>
        <w:t>的地下水量，灌溉面积10.8万亩，灌溉定额为452.5m</w:t>
      </w:r>
      <w:r>
        <w:rPr>
          <w:rFonts w:hint="eastAsia" w:cs="Times New Roman"/>
          <w:sz w:val="28"/>
          <w:szCs w:val="28"/>
          <w:vertAlign w:val="superscript"/>
        </w:rPr>
        <w:t>3</w:t>
      </w:r>
      <w:r>
        <w:rPr>
          <w:rFonts w:hint="eastAsia" w:cs="Times New Roman"/>
          <w:sz w:val="28"/>
          <w:szCs w:val="28"/>
        </w:rPr>
        <w:t>/亩，不属于节水灌溉定额，原因为三湖河灌区一是由于干渠、支渠及斗渠三级输配水渠道组成的灌溉系统；二是灌区有4.2万亩盐碱地，田间没有实施高标准农田建设；三是输水渠道有40%没有节水改造，故造成水资源的无效损失浪费。目前节水灌溉普及率为67%，灌溉水综合利用系数在0.63左右。小型地下水灌区灌溉面积为21.58万亩，灌溉定额为146.2m</w:t>
      </w:r>
      <w:r>
        <w:rPr>
          <w:rFonts w:cs="Times New Roman"/>
          <w:sz w:val="28"/>
          <w:szCs w:val="28"/>
          <w:vertAlign w:val="superscript"/>
        </w:rPr>
        <w:t>3</w:t>
      </w:r>
      <w:r>
        <w:rPr>
          <w:rFonts w:cs="Times New Roman"/>
          <w:sz w:val="28"/>
          <w:szCs w:val="28"/>
        </w:rPr>
        <w:t>/</w:t>
      </w:r>
      <w:r>
        <w:rPr>
          <w:rFonts w:hint="eastAsia" w:cs="Times New Roman"/>
          <w:sz w:val="28"/>
          <w:szCs w:val="28"/>
        </w:rPr>
        <w:t>亩，属于节水灌溉定额。但事实上有一部分灌溉面积灌溉的是救命水，而水资源充足地区灌溉用水量较多，灌水定额偏高。因此，农业节水潜力较大。通过农业节水不仅可以提高农业用水的效率和效益，而且可以增加水资源可利用空间，调整区域用水结构，整体提高区域水资源的利用效率。通过农业灌溉节水工程的建设，调整用水结构，提高水源的利用效率，保障区域经济的可持续发展。</w:t>
      </w:r>
    </w:p>
    <w:p w14:paraId="086331F5">
      <w:pPr>
        <w:pStyle w:val="4"/>
        <w:widowControl/>
        <w:adjustRightInd w:val="0"/>
        <w:spacing w:before="0" w:after="0" w:line="360" w:lineRule="auto"/>
        <w:jc w:val="left"/>
        <w:rPr>
          <w:rFonts w:eastAsia="黑体" w:cs="Times New Roman"/>
          <w:b w:val="0"/>
          <w:bCs w:val="0"/>
          <w:kern w:val="0"/>
          <w:sz w:val="28"/>
          <w:szCs w:val="28"/>
        </w:rPr>
      </w:pPr>
      <w:bookmarkStart w:id="145" w:name="_Toc198652076"/>
      <w:r>
        <w:rPr>
          <w:rFonts w:hint="eastAsia" w:eastAsia="黑体" w:cs="Times New Roman"/>
          <w:b w:val="0"/>
          <w:bCs w:val="0"/>
          <w:kern w:val="0"/>
          <w:sz w:val="28"/>
          <w:szCs w:val="28"/>
        </w:rPr>
        <w:t>5.3.2灌区建设和改造</w:t>
      </w:r>
      <w:bookmarkEnd w:id="145"/>
    </w:p>
    <w:p w14:paraId="677496EC">
      <w:pPr>
        <w:widowControl/>
        <w:adjustRightInd w:val="0"/>
        <w:ind w:firstLine="560" w:firstLineChars="200"/>
        <w:rPr>
          <w:rFonts w:cs="Times New Roman"/>
          <w:sz w:val="28"/>
          <w:szCs w:val="28"/>
        </w:rPr>
      </w:pPr>
      <w:r>
        <w:rPr>
          <w:rFonts w:hint="eastAsia" w:cs="Times New Roman"/>
          <w:sz w:val="28"/>
          <w:szCs w:val="28"/>
        </w:rPr>
        <w:t>根据农业灌溉的水源情况、灌溉制度、灌水方式等现状情况，本着因地制宜、综合集成的原则，不同灌区、不同情况采取不同的节水工程形式和不同类型的水源，本着充分利用地表水的原则，规划2026-2035年三湖河中型灌区节水配套与现代化改造项目如下：</w:t>
      </w:r>
    </w:p>
    <w:p w14:paraId="3D3076B5">
      <w:pPr>
        <w:widowControl/>
        <w:adjustRightInd w:val="0"/>
        <w:ind w:firstLine="560" w:firstLineChars="200"/>
        <w:rPr>
          <w:rFonts w:cs="Times New Roman"/>
          <w:sz w:val="28"/>
          <w:szCs w:val="28"/>
        </w:rPr>
      </w:pPr>
      <w:r>
        <w:rPr>
          <w:rFonts w:hint="eastAsia" w:cs="Times New Roman"/>
          <w:sz w:val="28"/>
          <w:szCs w:val="28"/>
        </w:rPr>
        <w:t>渠道衬砌工程：五一支渠渠底现浇钢筋混凝土衬砌8km；公济支渠维修全断面膜袋混凝土衬砌2km；灌区高效节水改造5万亩；</w:t>
      </w:r>
    </w:p>
    <w:p w14:paraId="45BDDD63">
      <w:pPr>
        <w:widowControl/>
        <w:adjustRightInd w:val="0"/>
        <w:ind w:firstLine="560" w:firstLineChars="200"/>
        <w:rPr>
          <w:rFonts w:cs="Times New Roman"/>
          <w:sz w:val="28"/>
          <w:szCs w:val="28"/>
        </w:rPr>
      </w:pPr>
      <w:r>
        <w:rPr>
          <w:rFonts w:hint="eastAsia" w:cs="Times New Roman"/>
          <w:sz w:val="28"/>
          <w:szCs w:val="28"/>
        </w:rPr>
        <w:t>二级泵站机电设备配置：安装公益东大、公济和五一四座二级泵站前池清污机；</w:t>
      </w:r>
    </w:p>
    <w:p w14:paraId="4094AEA1">
      <w:pPr>
        <w:widowControl/>
        <w:adjustRightInd w:val="0"/>
        <w:ind w:firstLine="560" w:firstLineChars="200"/>
        <w:rPr>
          <w:rFonts w:cs="Times New Roman"/>
          <w:sz w:val="28"/>
          <w:szCs w:val="28"/>
        </w:rPr>
      </w:pPr>
      <w:r>
        <w:rPr>
          <w:rFonts w:hint="eastAsia" w:cs="Times New Roman"/>
          <w:sz w:val="28"/>
          <w:szCs w:val="28"/>
        </w:rPr>
        <w:t>水闸工程：新建哈业胡同干渠节制闸1座；改造支渠进水闸6座；配电改造：五一二级泵站配电改造。</w:t>
      </w:r>
    </w:p>
    <w:p w14:paraId="03D4BC0B">
      <w:pPr>
        <w:widowControl/>
        <w:adjustRightInd w:val="0"/>
        <w:ind w:firstLine="560" w:firstLineChars="200"/>
        <w:rPr>
          <w:rFonts w:cs="Times New Roman"/>
          <w:sz w:val="28"/>
          <w:szCs w:val="28"/>
        </w:rPr>
      </w:pPr>
      <w:r>
        <w:rPr>
          <w:rFonts w:hint="eastAsia" w:cs="Times New Roman"/>
          <w:sz w:val="28"/>
          <w:szCs w:val="28"/>
        </w:rPr>
        <w:t>闸门更新：更换支渠进水闸自动控制闸门20套。完善灌区管理所信息化建设工程等。东大、五一、公济、公益四个支渠二级泵站更新机电设备，支渠混凝土衬砌49km。</w:t>
      </w:r>
    </w:p>
    <w:p w14:paraId="60EC1D6D">
      <w:pPr>
        <w:widowControl/>
        <w:adjustRightInd w:val="0"/>
        <w:ind w:firstLine="560" w:firstLineChars="200"/>
        <w:rPr>
          <w:rFonts w:cs="Times New Roman"/>
          <w:sz w:val="28"/>
          <w:szCs w:val="28"/>
        </w:rPr>
      </w:pPr>
      <w:r>
        <w:rPr>
          <w:rFonts w:hint="eastAsia" w:cs="Times New Roman"/>
          <w:sz w:val="28"/>
          <w:szCs w:val="28"/>
        </w:rPr>
        <w:t>2030年前，完成九原区三湖河灌区东大、五一、公济、公益四个支渠二级泵站改造，逐步推进其他灌区的节水配套改造项目；</w:t>
      </w:r>
    </w:p>
    <w:p w14:paraId="133E9C2F">
      <w:pPr>
        <w:widowControl/>
        <w:adjustRightInd w:val="0"/>
        <w:ind w:firstLine="560" w:firstLineChars="200"/>
        <w:rPr>
          <w:rFonts w:cs="Times New Roman"/>
          <w:sz w:val="28"/>
          <w:szCs w:val="28"/>
        </w:rPr>
        <w:sectPr>
          <w:headerReference r:id="rId14" w:type="default"/>
          <w:pgSz w:w="11906" w:h="16838"/>
          <w:pgMar w:top="1440" w:right="1800" w:bottom="1440" w:left="1800" w:header="851" w:footer="992" w:gutter="0"/>
          <w:cols w:space="425" w:num="1"/>
          <w:docGrid w:type="lines" w:linePitch="312" w:charSpace="0"/>
        </w:sectPr>
      </w:pPr>
      <w:r>
        <w:rPr>
          <w:rFonts w:hint="eastAsia" w:cs="Times New Roman"/>
          <w:sz w:val="28"/>
          <w:szCs w:val="28"/>
        </w:rPr>
        <w:t>2036-2050年，完成五一支渠改造项目；规划小型地下水灌区实施高标准农田建设并提升改造，新建高标准农田4万亩，实施农田提质改造工程9万亩。2025年之前，完成建设项目的30%；2026-2030年，完成剩余建设任务。</w:t>
      </w:r>
    </w:p>
    <w:bookmarkEnd w:id="131"/>
    <w:p w14:paraId="57EC9C44">
      <w:pPr>
        <w:pStyle w:val="2"/>
        <w:widowControl/>
        <w:adjustRightInd w:val="0"/>
        <w:spacing w:before="0" w:after="0" w:line="360" w:lineRule="auto"/>
        <w:jc w:val="left"/>
        <w:rPr>
          <w:rFonts w:eastAsia="黑体" w:cs="Times New Roman"/>
          <w:b w:val="0"/>
          <w:bCs w:val="0"/>
          <w:color w:val="000000" w:themeColor="text1"/>
          <w:sz w:val="32"/>
          <w:szCs w:val="48"/>
          <w14:textFill>
            <w14:solidFill>
              <w14:schemeClr w14:val="tx1"/>
            </w14:solidFill>
          </w14:textFill>
        </w:rPr>
      </w:pPr>
      <w:bookmarkStart w:id="146" w:name="_Toc134212729"/>
      <w:bookmarkStart w:id="147" w:name="_Toc105515767"/>
      <w:bookmarkStart w:id="148" w:name="_Hlk182322081"/>
      <w:bookmarkStart w:id="149" w:name="_Toc127266592"/>
      <w:bookmarkStart w:id="150" w:name="_Toc198652077"/>
      <w:r>
        <w:rPr>
          <w:rFonts w:eastAsia="黑体" w:cs="Times New Roman"/>
          <w:b w:val="0"/>
          <w:bCs w:val="0"/>
          <w:color w:val="000000" w:themeColor="text1"/>
          <w:sz w:val="32"/>
          <w:szCs w:val="48"/>
          <w14:textFill>
            <w14:solidFill>
              <w14:schemeClr w14:val="tx1"/>
            </w14:solidFill>
          </w14:textFill>
        </w:rPr>
        <w:t>6</w:t>
      </w:r>
      <w:bookmarkEnd w:id="146"/>
      <w:bookmarkEnd w:id="147"/>
      <w:bookmarkEnd w:id="148"/>
      <w:bookmarkEnd w:id="149"/>
      <w:r>
        <w:rPr>
          <w:rFonts w:hint="eastAsia" w:eastAsia="黑体" w:cs="Times New Roman"/>
          <w:b w:val="0"/>
          <w:bCs w:val="0"/>
          <w:color w:val="000000" w:themeColor="text1"/>
          <w:sz w:val="32"/>
          <w:szCs w:val="48"/>
          <w14:textFill>
            <w14:solidFill>
              <w14:schemeClr w14:val="tx1"/>
            </w14:solidFill>
          </w14:textFill>
        </w:rPr>
        <w:t>构建河湖生态保护网</w:t>
      </w:r>
      <w:bookmarkEnd w:id="150"/>
    </w:p>
    <w:p w14:paraId="2B33B01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51" w:name="_Toc198652078"/>
      <w:bookmarkStart w:id="152" w:name="_Toc134212730"/>
      <w:bookmarkStart w:id="153" w:name="_Toc127266599"/>
      <w:bookmarkStart w:id="154" w:name="_Toc105515768"/>
      <w:r>
        <w:rPr>
          <w:rFonts w:ascii="Times New Roman" w:hAnsi="Times New Roman" w:eastAsia="黑体" w:cs="Times New Roman"/>
          <w:b w:val="0"/>
          <w:bCs w:val="0"/>
          <w:kern w:val="0"/>
          <w:sz w:val="28"/>
          <w:szCs w:val="28"/>
        </w:rPr>
        <w:t>6.1基本思路</w:t>
      </w:r>
      <w:bookmarkEnd w:id="151"/>
    </w:p>
    <w:p w14:paraId="62A333D9">
      <w:pPr>
        <w:widowControl/>
        <w:adjustRightInd w:val="0"/>
        <w:ind w:firstLine="560" w:firstLineChars="200"/>
        <w:rPr>
          <w:rFonts w:cs="Times New Roman"/>
          <w:sz w:val="28"/>
          <w:szCs w:val="28"/>
        </w:rPr>
      </w:pPr>
      <w:r>
        <w:rPr>
          <w:rFonts w:cs="Times New Roman"/>
          <w:sz w:val="28"/>
          <w:szCs w:val="28"/>
        </w:rPr>
        <w:t>坚持“山水林田湖草沙是一个生命共同体”的理念，对标“建设人与自然和谐共生的现代化”新要求新部署，立足“把内蒙古建成我国北方重要生态安全屏障”战略定位，从生态系统整体性和流域系统性出发，统筹左右岸、上下游、干支流，顺应自然、尊重规律，实施</w:t>
      </w:r>
      <w:r>
        <w:rPr>
          <w:rFonts w:hint="eastAsia" w:cs="Times New Roman"/>
          <w:sz w:val="28"/>
          <w:szCs w:val="28"/>
        </w:rPr>
        <w:t>山水林田湖草沙一体化保护和系统治理</w:t>
      </w:r>
      <w:r>
        <w:rPr>
          <w:rFonts w:cs="Times New Roman"/>
          <w:sz w:val="28"/>
          <w:szCs w:val="28"/>
        </w:rPr>
        <w:t>，构建集自然有序的河湖形态、奔涌灵动的水流流态、源清流洁的水体质量、良性持续的水循环过程于一体的水生态网，全面提升</w:t>
      </w:r>
      <w:r>
        <w:rPr>
          <w:rFonts w:hint="eastAsia" w:cs="Times New Roman"/>
          <w:sz w:val="28"/>
          <w:szCs w:val="28"/>
        </w:rPr>
        <w:t>九原区</w:t>
      </w:r>
      <w:r>
        <w:rPr>
          <w:rFonts w:cs="Times New Roman"/>
          <w:sz w:val="28"/>
          <w:szCs w:val="28"/>
        </w:rPr>
        <w:t>水生态系统的多样性稳定性持续性。</w:t>
      </w:r>
    </w:p>
    <w:p w14:paraId="739F3935">
      <w:pPr>
        <w:widowControl/>
        <w:adjustRightInd w:val="0"/>
        <w:ind w:firstLine="560" w:firstLineChars="200"/>
        <w:rPr>
          <w:rFonts w:cs="Times New Roman"/>
          <w:sz w:val="28"/>
          <w:szCs w:val="28"/>
        </w:rPr>
      </w:pPr>
      <w:r>
        <w:rPr>
          <w:rFonts w:cs="Times New Roman"/>
          <w:sz w:val="28"/>
          <w:szCs w:val="28"/>
        </w:rPr>
        <w:t>以水生态空间管控为基础，在</w:t>
      </w:r>
      <w:r>
        <w:rPr>
          <w:rFonts w:hint="eastAsia" w:cs="Times New Roman"/>
          <w:sz w:val="28"/>
          <w:szCs w:val="28"/>
        </w:rPr>
        <w:t>九原区</w:t>
      </w:r>
      <w:r>
        <w:rPr>
          <w:rFonts w:cs="Times New Roman"/>
          <w:sz w:val="28"/>
          <w:szCs w:val="28"/>
        </w:rPr>
        <w:t>河道外的阴山山地丘陵产水区，实施水土保持和水源涵养，拦沙固沙、涵养水源；在河道内及周边滩地的河川径流汇聚区，以河流为链，以水库为珠，串珠成链，实施河流水系生态绿道建设，恢复水动力条件和水生态功能；在地下，实施地下水保护与修复，提升地下水涵养能力和应急备用功能。对重点区域流域和重点对象，实施水系连通及重要生态功能修复、湖泊湿地和饮用水水源地保护等，推动岸上岸下、地表地下全过程全链条系统治理。</w:t>
      </w:r>
    </w:p>
    <w:p w14:paraId="26B28A8B">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55" w:name="_Toc198652079"/>
      <w:r>
        <w:rPr>
          <w:rFonts w:ascii="Times New Roman" w:hAnsi="Times New Roman" w:eastAsia="黑体" w:cs="Times New Roman"/>
          <w:b w:val="0"/>
          <w:bCs w:val="0"/>
          <w:kern w:val="0"/>
          <w:sz w:val="28"/>
          <w:szCs w:val="28"/>
        </w:rPr>
        <w:t>6.2</w:t>
      </w:r>
      <w:r>
        <w:rPr>
          <w:rFonts w:hint="eastAsia" w:ascii="Times New Roman" w:hAnsi="Times New Roman" w:eastAsia="黑体" w:cs="Times New Roman"/>
          <w:b w:val="0"/>
          <w:bCs w:val="0"/>
          <w:kern w:val="0"/>
          <w:sz w:val="28"/>
          <w:szCs w:val="28"/>
        </w:rPr>
        <w:t>水生态</w:t>
      </w:r>
      <w:bookmarkStart w:id="156" w:name="_Hlk197441104"/>
      <w:r>
        <w:rPr>
          <w:rFonts w:hint="eastAsia" w:ascii="Times New Roman" w:hAnsi="Times New Roman" w:eastAsia="黑体" w:cs="Times New Roman"/>
          <w:b w:val="0"/>
          <w:bCs w:val="0"/>
          <w:kern w:val="0"/>
          <w:sz w:val="28"/>
          <w:szCs w:val="28"/>
        </w:rPr>
        <w:t>水环境</w:t>
      </w:r>
      <w:bookmarkEnd w:id="156"/>
      <w:r>
        <w:rPr>
          <w:rFonts w:ascii="Times New Roman" w:hAnsi="Times New Roman" w:eastAsia="黑体" w:cs="Times New Roman"/>
          <w:b w:val="0"/>
          <w:bCs w:val="0"/>
          <w:kern w:val="0"/>
          <w:sz w:val="28"/>
          <w:szCs w:val="28"/>
        </w:rPr>
        <w:t>空间管控</w:t>
      </w:r>
      <w:bookmarkEnd w:id="155"/>
    </w:p>
    <w:p w14:paraId="0C07A50F">
      <w:pPr>
        <w:widowControl/>
        <w:adjustRightInd w:val="0"/>
        <w:ind w:firstLine="560" w:firstLineChars="200"/>
        <w:rPr>
          <w:rFonts w:cs="Times New Roman"/>
          <w:sz w:val="28"/>
          <w:szCs w:val="28"/>
        </w:rPr>
      </w:pPr>
      <w:r>
        <w:rPr>
          <w:rFonts w:cs="Times New Roman"/>
          <w:sz w:val="28"/>
          <w:szCs w:val="28"/>
        </w:rPr>
        <w:t>国土空间规划是对整个国土空间的管控，水生态</w:t>
      </w:r>
      <w:r>
        <w:rPr>
          <w:rFonts w:hint="eastAsia" w:cs="Times New Roman"/>
          <w:sz w:val="28"/>
          <w:szCs w:val="28"/>
        </w:rPr>
        <w:t>水环境</w:t>
      </w:r>
      <w:r>
        <w:rPr>
          <w:rFonts w:cs="Times New Roman"/>
          <w:sz w:val="28"/>
          <w:szCs w:val="28"/>
        </w:rPr>
        <w:t>空间管控是国土空间管控的一部分，要按照国土空间管控的要求进行管控。结合</w:t>
      </w:r>
      <w:r>
        <w:rPr>
          <w:rFonts w:hint="eastAsia" w:cs="Times New Roman"/>
          <w:sz w:val="28"/>
          <w:szCs w:val="28"/>
        </w:rPr>
        <w:t>九原区</w:t>
      </w:r>
      <w:r>
        <w:rPr>
          <w:rFonts w:cs="Times New Roman"/>
          <w:sz w:val="28"/>
          <w:szCs w:val="28"/>
        </w:rPr>
        <w:t>水利工程布局、水系分布和生态保护红线范围，以自然河湖水系、岸线及与水相关的空间范围为管控对象，建立禁止开发区和限制开发区，按照准入正面、负面清单分别进行管理。进一步按照国土空间管控总体要求，统筹涉水生态空间与其他类型空间的协调，构建水生态空间管控体系，为重大水利基础设施预留空间。</w:t>
      </w:r>
    </w:p>
    <w:p w14:paraId="17DD1421">
      <w:pPr>
        <w:pStyle w:val="4"/>
        <w:widowControl/>
        <w:adjustRightInd w:val="0"/>
        <w:spacing w:before="0" w:after="0" w:line="360" w:lineRule="auto"/>
        <w:jc w:val="left"/>
        <w:rPr>
          <w:rFonts w:eastAsia="黑体" w:cs="Times New Roman"/>
          <w:b w:val="0"/>
          <w:bCs w:val="0"/>
          <w:kern w:val="0"/>
          <w:sz w:val="28"/>
          <w:szCs w:val="28"/>
        </w:rPr>
      </w:pPr>
      <w:bookmarkStart w:id="157" w:name="_Toc198652080"/>
      <w:r>
        <w:rPr>
          <w:rFonts w:hint="eastAsia" w:eastAsia="黑体" w:cs="Times New Roman"/>
          <w:b w:val="0"/>
          <w:bCs w:val="0"/>
          <w:kern w:val="0"/>
          <w:sz w:val="28"/>
          <w:szCs w:val="28"/>
        </w:rPr>
        <w:t>6.2.1</w:t>
      </w:r>
      <w:r>
        <w:rPr>
          <w:rFonts w:eastAsia="黑体" w:cs="Times New Roman"/>
          <w:b w:val="0"/>
          <w:bCs w:val="0"/>
          <w:kern w:val="0"/>
          <w:sz w:val="28"/>
          <w:szCs w:val="28"/>
        </w:rPr>
        <w:t>涉水生态空间划定与功能管控</w:t>
      </w:r>
      <w:bookmarkEnd w:id="157"/>
    </w:p>
    <w:p w14:paraId="7750C914">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功能类型及范围</w:t>
      </w:r>
    </w:p>
    <w:p w14:paraId="1D492A20">
      <w:pPr>
        <w:widowControl/>
        <w:adjustRightInd w:val="0"/>
        <w:ind w:firstLine="560" w:firstLineChars="200"/>
        <w:rPr>
          <w:rFonts w:cs="Times New Roman"/>
          <w:sz w:val="28"/>
          <w:szCs w:val="28"/>
        </w:rPr>
      </w:pPr>
      <w:r>
        <w:rPr>
          <w:rFonts w:cs="Times New Roman"/>
          <w:sz w:val="28"/>
          <w:szCs w:val="28"/>
        </w:rPr>
        <w:t>涉水生态空间是指具有自然属性、以提供水生态服务或水生态产品为主体功能的国土空间。基于行洪排涝、供水、水生态环境保护、水源涵养、水土保持、景观娱乐等服务功能，结合包头市</w:t>
      </w:r>
      <w:r>
        <w:rPr>
          <w:rFonts w:hint="eastAsia" w:cs="Times New Roman"/>
          <w:sz w:val="28"/>
          <w:szCs w:val="28"/>
        </w:rPr>
        <w:t>九原区</w:t>
      </w:r>
      <w:r>
        <w:rPr>
          <w:rFonts w:cs="Times New Roman"/>
          <w:sz w:val="28"/>
          <w:szCs w:val="28"/>
        </w:rPr>
        <w:t>空间管控现状及需求，将水生态空间划分为河库水域空间、水土保持与水源涵养空间。</w:t>
      </w:r>
    </w:p>
    <w:p w14:paraId="6FC3402A">
      <w:pPr>
        <w:pStyle w:val="29"/>
        <w:widowControl/>
        <w:numPr>
          <w:ilvl w:val="0"/>
          <w:numId w:val="2"/>
        </w:numPr>
        <w:adjustRightInd w:val="0"/>
        <w:ind w:firstLineChars="0"/>
        <w:rPr>
          <w:rFonts w:cs="Times New Roman"/>
          <w:b/>
          <w:bCs/>
          <w:sz w:val="28"/>
          <w:szCs w:val="28"/>
        </w:rPr>
      </w:pPr>
      <w:r>
        <w:rPr>
          <w:rFonts w:cs="Times New Roman"/>
          <w:b/>
          <w:bCs/>
          <w:sz w:val="28"/>
          <w:szCs w:val="28"/>
        </w:rPr>
        <w:t>河</w:t>
      </w:r>
      <w:r>
        <w:rPr>
          <w:rFonts w:hint="eastAsia" w:cs="Times New Roman"/>
          <w:b/>
          <w:bCs/>
          <w:sz w:val="28"/>
          <w:szCs w:val="28"/>
        </w:rPr>
        <w:t>流</w:t>
      </w:r>
      <w:r>
        <w:rPr>
          <w:rFonts w:cs="Times New Roman"/>
          <w:b/>
          <w:bCs/>
          <w:sz w:val="28"/>
          <w:szCs w:val="28"/>
        </w:rPr>
        <w:t>水域空间</w:t>
      </w:r>
    </w:p>
    <w:p w14:paraId="724C965D">
      <w:pPr>
        <w:widowControl/>
        <w:adjustRightInd w:val="0"/>
        <w:ind w:firstLine="560" w:firstLineChars="200"/>
        <w:rPr>
          <w:rFonts w:cs="Times New Roman"/>
          <w:sz w:val="28"/>
          <w:szCs w:val="28"/>
        </w:rPr>
      </w:pPr>
      <w:r>
        <w:rPr>
          <w:rFonts w:cs="Times New Roman"/>
          <w:sz w:val="28"/>
          <w:szCs w:val="28"/>
        </w:rPr>
        <w:t>一是河流水域空间，分属黄河流域和内陆河流域，依托小流域综合治理工程，选取包括黄河流域黄河干支流存在治理需求的共</w:t>
      </w:r>
      <w:r>
        <w:rPr>
          <w:rFonts w:hint="eastAsia" w:cs="Times New Roman"/>
          <w:sz w:val="28"/>
          <w:szCs w:val="28"/>
        </w:rPr>
        <w:t>5</w:t>
      </w:r>
      <w:r>
        <w:rPr>
          <w:rFonts w:cs="Times New Roman"/>
          <w:sz w:val="28"/>
          <w:szCs w:val="28"/>
        </w:rPr>
        <w:t>条河流。</w:t>
      </w:r>
    </w:p>
    <w:p w14:paraId="465146E5">
      <w:pPr>
        <w:widowControl/>
        <w:adjustRightInd w:val="0"/>
        <w:ind w:firstLine="560" w:firstLineChars="200"/>
        <w:rPr>
          <w:rFonts w:cs="Times New Roman"/>
          <w:sz w:val="28"/>
          <w:szCs w:val="28"/>
        </w:rPr>
      </w:pPr>
      <w:r>
        <w:rPr>
          <w:rFonts w:hint="eastAsia" w:cs="Times New Roman"/>
          <w:sz w:val="28"/>
          <w:szCs w:val="28"/>
        </w:rPr>
        <w:t>二</w:t>
      </w:r>
      <w:r>
        <w:rPr>
          <w:rFonts w:cs="Times New Roman"/>
          <w:sz w:val="28"/>
          <w:szCs w:val="28"/>
        </w:rPr>
        <w:t>是人工渠道水域范围，涵盖全</w:t>
      </w:r>
      <w:r>
        <w:rPr>
          <w:rFonts w:hint="eastAsia" w:cs="Times New Roman"/>
          <w:sz w:val="28"/>
          <w:szCs w:val="28"/>
        </w:rPr>
        <w:t>区1</w:t>
      </w:r>
      <w:r>
        <w:rPr>
          <w:rFonts w:cs="Times New Roman"/>
          <w:sz w:val="28"/>
          <w:szCs w:val="28"/>
        </w:rPr>
        <w:t>个中型灌区灌溉排水渠道，其中干渠的水域空间为市级重点管控对象。到2035年，完成市级重点管控人工渠道水域空间的确权划界工作。</w:t>
      </w:r>
    </w:p>
    <w:p w14:paraId="39E02C22">
      <w:pPr>
        <w:widowControl/>
        <w:adjustRightInd w:val="0"/>
        <w:ind w:firstLine="562" w:firstLineChars="200"/>
        <w:rPr>
          <w:rFonts w:cs="Times New Roman"/>
          <w:b/>
          <w:bCs/>
          <w:sz w:val="28"/>
          <w:szCs w:val="28"/>
        </w:rPr>
      </w:pPr>
      <w:r>
        <w:rPr>
          <w:rFonts w:hint="eastAsia" w:cs="Times New Roman"/>
          <w:b/>
          <w:bCs/>
          <w:sz w:val="28"/>
          <w:szCs w:val="28"/>
        </w:rPr>
        <w:t>②</w:t>
      </w:r>
      <w:r>
        <w:rPr>
          <w:rFonts w:cs="Times New Roman"/>
          <w:b/>
          <w:bCs/>
          <w:sz w:val="28"/>
          <w:szCs w:val="28"/>
        </w:rPr>
        <w:t>水土保持空间</w:t>
      </w:r>
    </w:p>
    <w:p w14:paraId="2D3955B0">
      <w:pPr>
        <w:widowControl/>
        <w:adjustRightInd w:val="0"/>
        <w:ind w:firstLine="560" w:firstLineChars="200"/>
        <w:rPr>
          <w:rFonts w:cs="Times New Roman"/>
          <w:sz w:val="28"/>
          <w:szCs w:val="28"/>
        </w:rPr>
      </w:pPr>
      <w:r>
        <w:rPr>
          <w:rFonts w:cs="Times New Roman"/>
          <w:sz w:val="28"/>
          <w:szCs w:val="28"/>
        </w:rPr>
        <w:t>水土保持区。根据《全国水土保持规划国家级水土流失重点预防区和重点治理区复核划分成果》、《内蒙古自治区水土保持规划（2016—2030年）》、《包头市水土保持规划（2017～2030年）》，包括国家级、自治区级和包头市水土流失重点预防区和重点治理区。</w:t>
      </w:r>
    </w:p>
    <w:p w14:paraId="74AE4670">
      <w:pPr>
        <w:widowControl/>
        <w:adjustRightInd w:val="0"/>
        <w:ind w:firstLine="560" w:firstLineChars="200"/>
        <w:rPr>
          <w:rFonts w:cs="Times New Roman"/>
          <w:sz w:val="28"/>
          <w:szCs w:val="28"/>
          <w:highlight w:val="yellow"/>
        </w:rPr>
        <w:sectPr>
          <w:headerReference r:id="rId15" w:type="default"/>
          <w:pgSz w:w="11906" w:h="16838"/>
          <w:pgMar w:top="1440" w:right="1800" w:bottom="1440" w:left="1800" w:header="851" w:footer="992" w:gutter="0"/>
          <w:cols w:space="425" w:num="1"/>
          <w:docGrid w:type="lines" w:linePitch="312" w:charSpace="0"/>
        </w:sectPr>
      </w:pPr>
    </w:p>
    <w:p w14:paraId="67A74A33">
      <w:pPr>
        <w:adjustRightInd w:val="0"/>
        <w:spacing w:line="240" w:lineRule="auto"/>
        <w:jc w:val="center"/>
        <w:rPr>
          <w:rFonts w:cs="Times New Roman"/>
          <w:b/>
          <w:bCs/>
        </w:rPr>
      </w:pPr>
      <w:r>
        <w:rPr>
          <w:rFonts w:cs="Times New Roman"/>
          <w:b/>
          <w:bCs/>
        </w:rPr>
        <w:t>表6-1</w:t>
      </w:r>
      <w:r>
        <w:rPr>
          <w:rFonts w:hint="eastAsia" w:cs="Times New Roman"/>
          <w:b/>
          <w:bCs/>
        </w:rPr>
        <w:t xml:space="preserve">  </w:t>
      </w:r>
      <w:r>
        <w:rPr>
          <w:rFonts w:cs="Times New Roman"/>
          <w:b/>
          <w:bCs/>
        </w:rPr>
        <w:t>水生态空间划定标准</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1585"/>
        <w:gridCol w:w="7322"/>
        <w:gridCol w:w="3544"/>
      </w:tblGrid>
      <w:tr w14:paraId="7E49A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7" w:type="pct"/>
            <w:gridSpan w:val="2"/>
            <w:vAlign w:val="center"/>
          </w:tcPr>
          <w:p w14:paraId="6563237A">
            <w:pPr>
              <w:adjustRightInd w:val="0"/>
              <w:spacing w:line="240" w:lineRule="auto"/>
              <w:jc w:val="center"/>
              <w:rPr>
                <w:rFonts w:cs="Times New Roman"/>
              </w:rPr>
            </w:pPr>
            <w:r>
              <w:rPr>
                <w:rFonts w:cs="Times New Roman"/>
              </w:rPr>
              <w:t>功能类型</w:t>
            </w:r>
          </w:p>
        </w:tc>
        <w:tc>
          <w:tcPr>
            <w:tcW w:w="2583" w:type="pct"/>
            <w:vAlign w:val="center"/>
          </w:tcPr>
          <w:p w14:paraId="2754F9D4">
            <w:pPr>
              <w:adjustRightInd w:val="0"/>
              <w:spacing w:line="240" w:lineRule="auto"/>
              <w:jc w:val="center"/>
              <w:rPr>
                <w:rFonts w:cs="Times New Roman"/>
              </w:rPr>
            </w:pPr>
            <w:r>
              <w:rPr>
                <w:rFonts w:cs="Times New Roman"/>
              </w:rPr>
              <w:t>范围划定标准</w:t>
            </w:r>
          </w:p>
        </w:tc>
        <w:tc>
          <w:tcPr>
            <w:tcW w:w="1250" w:type="pct"/>
            <w:vAlign w:val="center"/>
          </w:tcPr>
          <w:p w14:paraId="0201132F">
            <w:pPr>
              <w:adjustRightInd w:val="0"/>
              <w:spacing w:line="240" w:lineRule="auto"/>
              <w:jc w:val="center"/>
              <w:rPr>
                <w:rFonts w:cs="Times New Roman"/>
              </w:rPr>
            </w:pPr>
            <w:r>
              <w:rPr>
                <w:rFonts w:cs="Times New Roman"/>
              </w:rPr>
              <w:t>区级重点管控对象</w:t>
            </w:r>
          </w:p>
        </w:tc>
      </w:tr>
      <w:tr w14:paraId="25330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pct"/>
            <w:vMerge w:val="restart"/>
            <w:vAlign w:val="center"/>
          </w:tcPr>
          <w:p w14:paraId="6B4119CF">
            <w:pPr>
              <w:adjustRightInd w:val="0"/>
              <w:spacing w:line="240" w:lineRule="auto"/>
              <w:jc w:val="center"/>
              <w:rPr>
                <w:rFonts w:cs="Times New Roman"/>
              </w:rPr>
            </w:pPr>
            <w:r>
              <w:rPr>
                <w:rFonts w:cs="Times New Roman"/>
              </w:rPr>
              <w:t>河库水域空间</w:t>
            </w:r>
          </w:p>
        </w:tc>
        <w:tc>
          <w:tcPr>
            <w:tcW w:w="559" w:type="pct"/>
            <w:vAlign w:val="center"/>
          </w:tcPr>
          <w:p w14:paraId="3B87FC22">
            <w:pPr>
              <w:adjustRightInd w:val="0"/>
              <w:spacing w:line="240" w:lineRule="auto"/>
              <w:jc w:val="center"/>
              <w:rPr>
                <w:rFonts w:cs="Times New Roman"/>
              </w:rPr>
            </w:pPr>
            <w:r>
              <w:rPr>
                <w:rFonts w:cs="Times New Roman"/>
              </w:rPr>
              <w:t>河流</w:t>
            </w:r>
          </w:p>
        </w:tc>
        <w:tc>
          <w:tcPr>
            <w:tcW w:w="2583" w:type="pct"/>
            <w:vAlign w:val="center"/>
          </w:tcPr>
          <w:p w14:paraId="675C1404">
            <w:pPr>
              <w:adjustRightInd w:val="0"/>
              <w:spacing w:line="240" w:lineRule="auto"/>
              <w:rPr>
                <w:rFonts w:cs="Times New Roman"/>
              </w:rPr>
            </w:pPr>
            <w:r>
              <w:rPr>
                <w:rFonts w:cs="Times New Roman"/>
              </w:rPr>
              <w:t>有堤防：生态空间为两岸堤防（多道堤防取离主河槽最远的堤防）之间的水域、沙洲、滩地（包括可耕地）、行洪区，以及两岸堤防、堤防背水侧管理和保护范围组成。</w:t>
            </w:r>
          </w:p>
          <w:p w14:paraId="6AE06769">
            <w:pPr>
              <w:adjustRightInd w:val="0"/>
              <w:spacing w:line="240" w:lineRule="auto"/>
              <w:rPr>
                <w:rFonts w:cs="Times New Roman"/>
              </w:rPr>
            </w:pPr>
            <w:r>
              <w:rPr>
                <w:rFonts w:cs="Times New Roman"/>
              </w:rPr>
              <w:t>无堤防：生态空间为设计洪水位或历史最高洪水位与岸边的交界线之间水域、沙洲、滩地（包括可耕地）、行洪区等水域岸线并外延一定管理或保护范围。</w:t>
            </w:r>
          </w:p>
        </w:tc>
        <w:tc>
          <w:tcPr>
            <w:tcW w:w="1250" w:type="pct"/>
            <w:vAlign w:val="center"/>
          </w:tcPr>
          <w:p w14:paraId="3DEC16CA">
            <w:pPr>
              <w:adjustRightInd w:val="0"/>
              <w:spacing w:line="240" w:lineRule="auto"/>
              <w:rPr>
                <w:rFonts w:cs="Times New Roman"/>
              </w:rPr>
            </w:pPr>
            <w:r>
              <w:rPr>
                <w:rFonts w:cs="Times New Roman"/>
              </w:rPr>
              <w:t xml:space="preserve">黄河流域：黄河干流、哈德门沟、昆都仑河、四道沙河、二道沙河。 </w:t>
            </w:r>
          </w:p>
        </w:tc>
      </w:tr>
      <w:tr w14:paraId="68FF3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pct"/>
            <w:vMerge w:val="continue"/>
            <w:vAlign w:val="center"/>
          </w:tcPr>
          <w:p w14:paraId="6597F6E1">
            <w:pPr>
              <w:adjustRightInd w:val="0"/>
              <w:spacing w:line="240" w:lineRule="auto"/>
              <w:jc w:val="center"/>
              <w:rPr>
                <w:rFonts w:cs="Times New Roman"/>
              </w:rPr>
            </w:pPr>
          </w:p>
        </w:tc>
        <w:tc>
          <w:tcPr>
            <w:tcW w:w="559" w:type="pct"/>
            <w:vAlign w:val="center"/>
          </w:tcPr>
          <w:p w14:paraId="11E714D2">
            <w:pPr>
              <w:adjustRightInd w:val="0"/>
              <w:spacing w:line="240" w:lineRule="auto"/>
              <w:jc w:val="center"/>
              <w:rPr>
                <w:rFonts w:cs="Times New Roman"/>
              </w:rPr>
            </w:pPr>
            <w:r>
              <w:rPr>
                <w:rFonts w:cs="Times New Roman"/>
              </w:rPr>
              <w:t>人工渠道</w:t>
            </w:r>
          </w:p>
        </w:tc>
        <w:tc>
          <w:tcPr>
            <w:tcW w:w="2583" w:type="pct"/>
            <w:vAlign w:val="center"/>
          </w:tcPr>
          <w:p w14:paraId="69167229">
            <w:pPr>
              <w:adjustRightInd w:val="0"/>
              <w:spacing w:line="240" w:lineRule="auto"/>
              <w:rPr>
                <w:rFonts w:cs="Times New Roman"/>
              </w:rPr>
            </w:pPr>
            <w:r>
              <w:rPr>
                <w:rFonts w:hint="eastAsia" w:cs="Times New Roman"/>
              </w:rPr>
              <w:t>1</w:t>
            </w:r>
            <w:r>
              <w:rPr>
                <w:rFonts w:cs="Times New Roman"/>
              </w:rPr>
              <w:t>个中型灌区。</w:t>
            </w:r>
          </w:p>
        </w:tc>
        <w:tc>
          <w:tcPr>
            <w:tcW w:w="1250" w:type="pct"/>
            <w:vAlign w:val="center"/>
          </w:tcPr>
          <w:p w14:paraId="1D267FBD">
            <w:pPr>
              <w:adjustRightInd w:val="0"/>
              <w:spacing w:line="240" w:lineRule="auto"/>
              <w:rPr>
                <w:rFonts w:cs="Times New Roman"/>
              </w:rPr>
            </w:pPr>
            <w:r>
              <w:rPr>
                <w:rFonts w:hint="eastAsia" w:cs="Times New Roman"/>
              </w:rPr>
              <w:t>三湖河</w:t>
            </w:r>
            <w:r>
              <w:rPr>
                <w:rFonts w:cs="Times New Roman"/>
              </w:rPr>
              <w:t>中型灌区干渠</w:t>
            </w:r>
          </w:p>
        </w:tc>
      </w:tr>
      <w:tr w14:paraId="0D3A7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230490EB">
            <w:pPr>
              <w:adjustRightInd w:val="0"/>
              <w:spacing w:line="240" w:lineRule="auto"/>
              <w:jc w:val="center"/>
              <w:rPr>
                <w:rFonts w:cs="Times New Roman"/>
              </w:rPr>
            </w:pPr>
            <w:r>
              <w:rPr>
                <w:rFonts w:cs="Times New Roman"/>
              </w:rPr>
              <w:t>水土保持</w:t>
            </w:r>
          </w:p>
        </w:tc>
        <w:tc>
          <w:tcPr>
            <w:tcW w:w="559" w:type="pct"/>
            <w:vAlign w:val="center"/>
          </w:tcPr>
          <w:p w14:paraId="01385587">
            <w:pPr>
              <w:adjustRightInd w:val="0"/>
              <w:spacing w:line="240" w:lineRule="auto"/>
              <w:jc w:val="center"/>
              <w:rPr>
                <w:rFonts w:cs="Times New Roman"/>
              </w:rPr>
            </w:pPr>
            <w:r>
              <w:rPr>
                <w:rFonts w:cs="Times New Roman"/>
              </w:rPr>
              <w:t>水土保持区</w:t>
            </w:r>
          </w:p>
        </w:tc>
        <w:tc>
          <w:tcPr>
            <w:tcW w:w="3833" w:type="pct"/>
            <w:gridSpan w:val="2"/>
            <w:vAlign w:val="center"/>
          </w:tcPr>
          <w:p w14:paraId="4D3F3754">
            <w:pPr>
              <w:adjustRightInd w:val="0"/>
              <w:spacing w:line="240" w:lineRule="auto"/>
              <w:rPr>
                <w:rFonts w:cs="Times New Roman"/>
              </w:rPr>
            </w:pPr>
            <w:r>
              <w:rPr>
                <w:rFonts w:cs="Times New Roman"/>
              </w:rPr>
              <w:t>国家级、自治区级、市级水土流失重点预防区和重点治理区。</w:t>
            </w:r>
          </w:p>
        </w:tc>
      </w:tr>
    </w:tbl>
    <w:p w14:paraId="5CD13551">
      <w:pPr>
        <w:sectPr>
          <w:pgSz w:w="16838" w:h="11906" w:orient="landscape"/>
          <w:pgMar w:top="1800" w:right="1440" w:bottom="1800" w:left="1440" w:header="851" w:footer="992" w:gutter="0"/>
          <w:cols w:space="425" w:num="1"/>
          <w:docGrid w:type="lines" w:linePitch="326" w:charSpace="0"/>
        </w:sectPr>
      </w:pPr>
    </w:p>
    <w:p w14:paraId="1CE2AD5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管控分区</w:t>
      </w:r>
    </w:p>
    <w:p w14:paraId="46FAAB2C">
      <w:pPr>
        <w:widowControl/>
        <w:adjustRightInd w:val="0"/>
        <w:ind w:firstLine="560" w:firstLineChars="200"/>
        <w:rPr>
          <w:rFonts w:cs="Times New Roman"/>
          <w:sz w:val="28"/>
          <w:szCs w:val="28"/>
        </w:rPr>
      </w:pPr>
      <w:r>
        <w:rPr>
          <w:rFonts w:cs="Times New Roman"/>
          <w:sz w:val="28"/>
          <w:szCs w:val="28"/>
        </w:rPr>
        <w:t>根据包头水生态空间保护格局与管控要求，将水生态空间划分为禁止开发区（国土空间生态保护红线范围内）和限制开发区（国土空间生态保护红线之外）两部分，禁止开发区进一步划分为核心保护区和一般控制区。</w:t>
      </w:r>
    </w:p>
    <w:p w14:paraId="2FF89034">
      <w:pPr>
        <w:adjustRightInd w:val="0"/>
        <w:spacing w:line="240" w:lineRule="auto"/>
        <w:jc w:val="center"/>
        <w:rPr>
          <w:rFonts w:cs="Times New Roman"/>
          <w:b/>
          <w:bCs/>
        </w:rPr>
      </w:pPr>
      <w:r>
        <w:rPr>
          <w:rFonts w:cs="Times New Roman"/>
          <w:b/>
          <w:bCs/>
        </w:rPr>
        <w:t>表6-</w:t>
      </w:r>
      <w:r>
        <w:rPr>
          <w:rFonts w:hint="eastAsia" w:cs="Times New Roman"/>
          <w:b/>
          <w:bCs/>
        </w:rPr>
        <w:t xml:space="preserve">2  </w:t>
      </w:r>
      <w:r>
        <w:rPr>
          <w:rFonts w:cs="Times New Roman"/>
          <w:b/>
          <w:bCs/>
        </w:rPr>
        <w:t>涉水生态空间的分类分区表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764"/>
        <w:gridCol w:w="1899"/>
        <w:gridCol w:w="3329"/>
        <w:gridCol w:w="1703"/>
      </w:tblGrid>
      <w:tr w14:paraId="66171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gridSpan w:val="2"/>
            <w:vAlign w:val="center"/>
          </w:tcPr>
          <w:p w14:paraId="6DC0D8C7">
            <w:pPr>
              <w:adjustRightInd w:val="0"/>
              <w:spacing w:line="240" w:lineRule="auto"/>
              <w:jc w:val="center"/>
              <w:rPr>
                <w:rFonts w:cs="Times New Roman"/>
                <w:b/>
                <w:bCs/>
              </w:rPr>
            </w:pPr>
            <w:r>
              <w:rPr>
                <w:rFonts w:cs="Times New Roman"/>
                <w:b/>
                <w:bCs/>
              </w:rPr>
              <w:t>功能类型</w:t>
            </w:r>
          </w:p>
        </w:tc>
        <w:tc>
          <w:tcPr>
            <w:tcW w:w="3067" w:type="pct"/>
            <w:gridSpan w:val="2"/>
            <w:vAlign w:val="center"/>
          </w:tcPr>
          <w:p w14:paraId="08EF798F">
            <w:pPr>
              <w:adjustRightInd w:val="0"/>
              <w:spacing w:line="240" w:lineRule="auto"/>
              <w:jc w:val="center"/>
              <w:rPr>
                <w:rFonts w:cs="Times New Roman"/>
                <w:b/>
                <w:bCs/>
              </w:rPr>
            </w:pPr>
            <w:r>
              <w:rPr>
                <w:rFonts w:cs="Times New Roman"/>
                <w:b/>
                <w:bCs/>
              </w:rPr>
              <w:t>禁止开发区（生态红线控制范围内）</w:t>
            </w:r>
          </w:p>
        </w:tc>
        <w:tc>
          <w:tcPr>
            <w:tcW w:w="999" w:type="pct"/>
            <w:vMerge w:val="restart"/>
            <w:vAlign w:val="center"/>
          </w:tcPr>
          <w:p w14:paraId="4C719819">
            <w:pPr>
              <w:adjustRightInd w:val="0"/>
              <w:spacing w:line="240" w:lineRule="auto"/>
              <w:jc w:val="center"/>
              <w:rPr>
                <w:rFonts w:cs="Times New Roman"/>
                <w:b/>
                <w:bCs/>
              </w:rPr>
            </w:pPr>
            <w:r>
              <w:rPr>
                <w:rFonts w:cs="Times New Roman"/>
                <w:b/>
                <w:bCs/>
              </w:rPr>
              <w:t>限制开发区</w:t>
            </w:r>
          </w:p>
        </w:tc>
      </w:tr>
      <w:tr w14:paraId="70588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gridSpan w:val="2"/>
            <w:vAlign w:val="center"/>
          </w:tcPr>
          <w:p w14:paraId="3A249B5F">
            <w:pPr>
              <w:adjustRightInd w:val="0"/>
              <w:spacing w:line="240" w:lineRule="auto"/>
              <w:jc w:val="center"/>
              <w:rPr>
                <w:rFonts w:cs="Times New Roman"/>
                <w:b/>
                <w:bCs/>
              </w:rPr>
            </w:pPr>
            <w:r>
              <w:rPr>
                <w:rFonts w:hint="eastAsia" w:cs="Times New Roman"/>
                <w:b/>
                <w:bCs/>
              </w:rPr>
              <w:t>河湖</w:t>
            </w:r>
          </w:p>
        </w:tc>
        <w:tc>
          <w:tcPr>
            <w:tcW w:w="1114" w:type="pct"/>
            <w:vAlign w:val="center"/>
          </w:tcPr>
          <w:p w14:paraId="2B5B8A90">
            <w:pPr>
              <w:adjustRightInd w:val="0"/>
              <w:spacing w:line="240" w:lineRule="auto"/>
              <w:jc w:val="center"/>
              <w:rPr>
                <w:rFonts w:cs="Times New Roman"/>
                <w:b/>
                <w:bCs/>
              </w:rPr>
            </w:pPr>
            <w:r>
              <w:rPr>
                <w:rFonts w:cs="Times New Roman"/>
                <w:b/>
                <w:bCs/>
              </w:rPr>
              <w:t>核心保护区</w:t>
            </w:r>
          </w:p>
        </w:tc>
        <w:tc>
          <w:tcPr>
            <w:tcW w:w="1953" w:type="pct"/>
            <w:vAlign w:val="center"/>
          </w:tcPr>
          <w:p w14:paraId="296955C4">
            <w:pPr>
              <w:adjustRightInd w:val="0"/>
              <w:spacing w:line="240" w:lineRule="auto"/>
              <w:jc w:val="center"/>
              <w:rPr>
                <w:rFonts w:cs="Times New Roman"/>
                <w:b/>
                <w:bCs/>
              </w:rPr>
            </w:pPr>
            <w:r>
              <w:rPr>
                <w:rFonts w:cs="Times New Roman"/>
                <w:b/>
                <w:bCs/>
              </w:rPr>
              <w:t>一般控制区</w:t>
            </w:r>
          </w:p>
        </w:tc>
        <w:tc>
          <w:tcPr>
            <w:tcW w:w="999" w:type="pct"/>
            <w:vMerge w:val="continue"/>
            <w:vAlign w:val="center"/>
          </w:tcPr>
          <w:p w14:paraId="490C1A44">
            <w:pPr>
              <w:adjustRightInd w:val="0"/>
              <w:spacing w:line="240" w:lineRule="auto"/>
              <w:jc w:val="center"/>
              <w:rPr>
                <w:rFonts w:cs="Times New Roman"/>
                <w:b/>
                <w:bCs/>
              </w:rPr>
            </w:pPr>
          </w:p>
        </w:tc>
      </w:tr>
      <w:tr w14:paraId="15BC9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Align w:val="center"/>
          </w:tcPr>
          <w:p w14:paraId="201FF5A0">
            <w:pPr>
              <w:adjustRightInd w:val="0"/>
              <w:spacing w:line="240" w:lineRule="auto"/>
              <w:rPr>
                <w:rFonts w:cs="Times New Roman"/>
              </w:rPr>
            </w:pPr>
            <w:r>
              <w:rPr>
                <w:rFonts w:cs="Times New Roman"/>
              </w:rPr>
              <w:t>水域</w:t>
            </w:r>
          </w:p>
        </w:tc>
        <w:tc>
          <w:tcPr>
            <w:tcW w:w="448" w:type="pct"/>
            <w:vAlign w:val="center"/>
          </w:tcPr>
          <w:p w14:paraId="051EAE3B">
            <w:pPr>
              <w:adjustRightInd w:val="0"/>
              <w:spacing w:line="240" w:lineRule="auto"/>
              <w:rPr>
                <w:rFonts w:cs="Times New Roman"/>
              </w:rPr>
            </w:pPr>
            <w:r>
              <w:rPr>
                <w:rFonts w:cs="Times New Roman"/>
              </w:rPr>
              <w:t>河流</w:t>
            </w:r>
          </w:p>
        </w:tc>
        <w:tc>
          <w:tcPr>
            <w:tcW w:w="1114" w:type="pct"/>
            <w:vAlign w:val="center"/>
          </w:tcPr>
          <w:p w14:paraId="21594456">
            <w:pPr>
              <w:adjustRightInd w:val="0"/>
              <w:spacing w:line="240" w:lineRule="auto"/>
              <w:rPr>
                <w:rFonts w:cs="Times New Roman"/>
              </w:rPr>
            </w:pPr>
            <w:r>
              <w:rPr>
                <w:rFonts w:hint="eastAsia" w:cs="Times New Roman"/>
              </w:rPr>
              <w:t>昆都仑河干流</w:t>
            </w:r>
          </w:p>
        </w:tc>
        <w:tc>
          <w:tcPr>
            <w:tcW w:w="1953" w:type="pct"/>
            <w:vAlign w:val="center"/>
          </w:tcPr>
          <w:p w14:paraId="789F6397">
            <w:pPr>
              <w:adjustRightInd w:val="0"/>
              <w:spacing w:line="240" w:lineRule="auto"/>
              <w:rPr>
                <w:rFonts w:cs="Times New Roman"/>
              </w:rPr>
            </w:pPr>
            <w:r>
              <w:rPr>
                <w:rFonts w:cs="Times New Roman"/>
              </w:rPr>
              <w:t>昆都仑河干流，除核心保护区以外范围。</w:t>
            </w:r>
          </w:p>
        </w:tc>
        <w:tc>
          <w:tcPr>
            <w:tcW w:w="999" w:type="pct"/>
            <w:vAlign w:val="center"/>
          </w:tcPr>
          <w:p w14:paraId="34829920">
            <w:pPr>
              <w:adjustRightInd w:val="0"/>
              <w:spacing w:line="240" w:lineRule="auto"/>
              <w:rPr>
                <w:rFonts w:cs="Times New Roman"/>
              </w:rPr>
            </w:pPr>
            <w:r>
              <w:rPr>
                <w:rFonts w:cs="Times New Roman"/>
              </w:rPr>
              <w:t>生态红线范围外的全部河湖水域和重大水利工程预留区</w:t>
            </w:r>
          </w:p>
        </w:tc>
      </w:tr>
      <w:tr w14:paraId="6FECA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Align w:val="center"/>
          </w:tcPr>
          <w:p w14:paraId="2AC97F44">
            <w:pPr>
              <w:adjustRightInd w:val="0"/>
              <w:spacing w:line="240" w:lineRule="auto"/>
              <w:rPr>
                <w:rFonts w:cs="Times New Roman"/>
              </w:rPr>
            </w:pPr>
            <w:r>
              <w:rPr>
                <w:rFonts w:cs="Times New Roman"/>
              </w:rPr>
              <w:t>水土保持</w:t>
            </w:r>
          </w:p>
        </w:tc>
        <w:tc>
          <w:tcPr>
            <w:tcW w:w="448" w:type="pct"/>
            <w:vAlign w:val="center"/>
          </w:tcPr>
          <w:p w14:paraId="0F2415F1">
            <w:pPr>
              <w:adjustRightInd w:val="0"/>
              <w:spacing w:line="240" w:lineRule="auto"/>
              <w:rPr>
                <w:rFonts w:cs="Times New Roman"/>
              </w:rPr>
            </w:pPr>
            <w:r>
              <w:rPr>
                <w:rFonts w:cs="Times New Roman"/>
              </w:rPr>
              <w:t>水土保持区</w:t>
            </w:r>
          </w:p>
        </w:tc>
        <w:tc>
          <w:tcPr>
            <w:tcW w:w="1114" w:type="pct"/>
            <w:vAlign w:val="center"/>
          </w:tcPr>
          <w:p w14:paraId="702E05A9">
            <w:pPr>
              <w:adjustRightInd w:val="0"/>
              <w:spacing w:line="240" w:lineRule="auto"/>
              <w:rPr>
                <w:rFonts w:cs="Times New Roman"/>
              </w:rPr>
            </w:pPr>
            <w:r>
              <w:rPr>
                <w:rFonts w:cs="Times New Roman"/>
              </w:rPr>
              <w:t>大青山-乌拉山、阴山北麓山地丘陵及山地高原等自然保护区核心区和缓冲区的区域。</w:t>
            </w:r>
          </w:p>
        </w:tc>
        <w:tc>
          <w:tcPr>
            <w:tcW w:w="1953" w:type="pct"/>
            <w:vAlign w:val="center"/>
          </w:tcPr>
          <w:p w14:paraId="766A87E7">
            <w:pPr>
              <w:adjustRightInd w:val="0"/>
              <w:spacing w:line="240" w:lineRule="auto"/>
              <w:rPr>
                <w:rFonts w:cs="Times New Roman"/>
              </w:rPr>
            </w:pPr>
            <w:r>
              <w:rPr>
                <w:rFonts w:cs="Times New Roman"/>
              </w:rPr>
              <w:t>水土保持生态红线区内，除核心保护区以外的水土流失重点预防区和重点治理区</w:t>
            </w:r>
          </w:p>
        </w:tc>
        <w:tc>
          <w:tcPr>
            <w:tcW w:w="999" w:type="pct"/>
            <w:vAlign w:val="center"/>
          </w:tcPr>
          <w:p w14:paraId="69440BCB">
            <w:pPr>
              <w:adjustRightInd w:val="0"/>
              <w:spacing w:line="240" w:lineRule="auto"/>
              <w:rPr>
                <w:rFonts w:cs="Times New Roman"/>
              </w:rPr>
            </w:pPr>
            <w:r>
              <w:rPr>
                <w:rFonts w:cs="Times New Roman"/>
              </w:rPr>
              <w:t>生态红线范围外的水土流失重点防治区和重点治理区。</w:t>
            </w:r>
          </w:p>
        </w:tc>
      </w:tr>
    </w:tbl>
    <w:p w14:paraId="3636C7A0">
      <w:pPr>
        <w:widowControl/>
        <w:adjustRightInd w:val="0"/>
        <w:spacing w:before="156" w:beforeLines="5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3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⑶</w:t>
      </w:r>
      <w:r>
        <w:rPr>
          <w:rFonts w:cs="Times New Roman"/>
          <w:b/>
          <w:bCs/>
          <w:sz w:val="28"/>
          <w:szCs w:val="28"/>
        </w:rPr>
        <w:fldChar w:fldCharType="end"/>
      </w:r>
      <w:r>
        <w:rPr>
          <w:rFonts w:cs="Times New Roman"/>
          <w:b/>
          <w:bCs/>
          <w:sz w:val="28"/>
          <w:szCs w:val="28"/>
        </w:rPr>
        <w:t>管控措施</w:t>
      </w:r>
    </w:p>
    <w:p w14:paraId="28B9A91B">
      <w:pPr>
        <w:widowControl/>
        <w:adjustRightInd w:val="0"/>
        <w:ind w:firstLine="560" w:firstLineChars="200"/>
        <w:rPr>
          <w:rFonts w:cs="Times New Roman"/>
          <w:sz w:val="28"/>
          <w:szCs w:val="28"/>
        </w:rPr>
        <w:sectPr>
          <w:pgSz w:w="11906" w:h="16838"/>
          <w:pgMar w:top="1440" w:right="1800" w:bottom="1440" w:left="1800" w:header="851" w:footer="992" w:gutter="0"/>
          <w:cols w:space="425" w:num="1"/>
          <w:docGrid w:type="lines" w:linePitch="312" w:charSpace="0"/>
        </w:sectPr>
      </w:pPr>
      <w:r>
        <w:rPr>
          <w:rFonts w:cs="Times New Roman"/>
          <w:sz w:val="28"/>
          <w:szCs w:val="28"/>
        </w:rPr>
        <w:t>对于禁止开发区，严禁不符合主体功能定位的各类开发活动，其中核心保护区原则上禁止一切可能对保护区内生态系统多样性、稳定性、持续性造成影响的活动，涉及国家特殊战略需要和重大涉水基础涉及建设的项目需严格论证后经政府或有关管理单位批准方可进行。对于限制开发区，统筹协调开发建设与生态环境保护的关系，在不影响防洪安全、供水安全、水生态系统稳定的情况下，依法依规履行水行政许可相关手续后，科学合理地开发利用。依法划定河湖管理范围，落实规划岸线分区管理要求，强化岸线保护和节约集约利用；加大灌溉渠道管理维护力度，保障渠道功能完整；加强对水源涵养区、滨河滨湖（库）区等水生态空间保护，合理确定水生态空间用途、权属和分布，设立明确地理界标和宣传警示标识标牌；强化对各类水生态空间占用、损害和破坏行为的监管和处罚力度，确保水生态空间面积不缩小、数量不减少、功能不降低。依据《关于划定并严守生态保护红线的若干意见》、《生态保护红线管理办法（试行）》等相关法律法规要求，针对禁止开发区和限制开发区的特点，按照准入正面、负面清单分别进行管理。在禁止开发区，制定项目准入正面清单，严格控制人类活动，正面清单主要为生态保护修复、水利等基础设施建设、民生保障相关的活动；在限制开发区，制定项目负面清单，协调经济社会活动与水生态空间保护的关系，以功能为导向，严格禁止与功能不符的活动。水生态空间管控正面和负面清单见表6-3。</w:t>
      </w:r>
    </w:p>
    <w:p w14:paraId="3AEE472F">
      <w:pPr>
        <w:adjustRightInd w:val="0"/>
        <w:spacing w:line="240" w:lineRule="auto"/>
        <w:jc w:val="center"/>
        <w:rPr>
          <w:rFonts w:cs="Times New Roman"/>
          <w:b/>
          <w:bCs/>
          <w:sz w:val="28"/>
          <w:szCs w:val="24"/>
        </w:rPr>
      </w:pPr>
      <w:r>
        <w:rPr>
          <w:rFonts w:cs="Times New Roman"/>
          <w:b/>
          <w:bCs/>
          <w:sz w:val="28"/>
          <w:szCs w:val="24"/>
        </w:rPr>
        <w:t>表6-</w:t>
      </w:r>
      <w:r>
        <w:rPr>
          <w:rFonts w:hint="eastAsia" w:cs="Times New Roman"/>
          <w:b/>
          <w:bCs/>
          <w:sz w:val="28"/>
          <w:szCs w:val="24"/>
        </w:rPr>
        <w:t xml:space="preserve">3  </w:t>
      </w:r>
      <w:r>
        <w:rPr>
          <w:rFonts w:cs="Times New Roman"/>
          <w:b/>
          <w:bCs/>
          <w:sz w:val="28"/>
          <w:szCs w:val="24"/>
        </w:rPr>
        <w:t>水生态空间管控正面和负面清单</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48"/>
        <w:gridCol w:w="3158"/>
        <w:gridCol w:w="5536"/>
        <w:gridCol w:w="2832"/>
      </w:tblGrid>
      <w:tr w14:paraId="62661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vAlign w:val="center"/>
          </w:tcPr>
          <w:p w14:paraId="622DB2AF">
            <w:pPr>
              <w:adjustRightInd w:val="0"/>
              <w:spacing w:line="240" w:lineRule="auto"/>
              <w:jc w:val="center"/>
              <w:rPr>
                <w:rFonts w:cs="Times New Roman"/>
                <w:b/>
                <w:bCs/>
              </w:rPr>
            </w:pPr>
            <w:r>
              <w:rPr>
                <w:rFonts w:cs="Times New Roman"/>
                <w:b/>
                <w:bCs/>
              </w:rPr>
              <w:t>功能类型</w:t>
            </w:r>
          </w:p>
        </w:tc>
        <w:tc>
          <w:tcPr>
            <w:tcW w:w="3067" w:type="pct"/>
            <w:gridSpan w:val="2"/>
            <w:vAlign w:val="center"/>
          </w:tcPr>
          <w:p w14:paraId="0E2CD0E6">
            <w:pPr>
              <w:adjustRightInd w:val="0"/>
              <w:spacing w:line="240" w:lineRule="auto"/>
              <w:jc w:val="center"/>
              <w:rPr>
                <w:rFonts w:cs="Times New Roman"/>
                <w:b/>
                <w:bCs/>
              </w:rPr>
            </w:pPr>
            <w:r>
              <w:rPr>
                <w:rFonts w:cs="Times New Roman"/>
                <w:b/>
                <w:bCs/>
              </w:rPr>
              <w:t>禁止开发区（生态红线控制范围内）</w:t>
            </w:r>
          </w:p>
        </w:tc>
        <w:tc>
          <w:tcPr>
            <w:tcW w:w="999" w:type="pct"/>
            <w:vMerge w:val="restart"/>
            <w:vAlign w:val="center"/>
          </w:tcPr>
          <w:p w14:paraId="6856BB8E">
            <w:pPr>
              <w:adjustRightInd w:val="0"/>
              <w:spacing w:line="240" w:lineRule="auto"/>
              <w:jc w:val="center"/>
              <w:rPr>
                <w:rFonts w:cs="Times New Roman"/>
                <w:b/>
                <w:bCs/>
              </w:rPr>
            </w:pPr>
            <w:r>
              <w:rPr>
                <w:rFonts w:cs="Times New Roman"/>
                <w:b/>
                <w:bCs/>
              </w:rPr>
              <w:t>限制开发区</w:t>
            </w:r>
            <w:r>
              <w:rPr>
                <w:rFonts w:hint="eastAsia" w:cs="Times New Roman"/>
                <w:b/>
                <w:bCs/>
              </w:rPr>
              <w:t>负面清单</w:t>
            </w:r>
          </w:p>
        </w:tc>
      </w:tr>
      <w:tr w14:paraId="3EB2D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vAlign w:val="center"/>
          </w:tcPr>
          <w:p w14:paraId="00E73365">
            <w:pPr>
              <w:adjustRightInd w:val="0"/>
              <w:spacing w:line="240" w:lineRule="auto"/>
              <w:jc w:val="center"/>
              <w:rPr>
                <w:rFonts w:cs="Times New Roman"/>
                <w:b/>
                <w:bCs/>
              </w:rPr>
            </w:pPr>
            <w:r>
              <w:rPr>
                <w:rFonts w:hint="eastAsia" w:cs="Times New Roman"/>
                <w:b/>
                <w:bCs/>
              </w:rPr>
              <w:t>河湖</w:t>
            </w:r>
          </w:p>
        </w:tc>
        <w:tc>
          <w:tcPr>
            <w:tcW w:w="1114" w:type="pct"/>
            <w:vAlign w:val="center"/>
          </w:tcPr>
          <w:p w14:paraId="40AB542D">
            <w:pPr>
              <w:adjustRightInd w:val="0"/>
              <w:spacing w:line="240" w:lineRule="auto"/>
              <w:jc w:val="center"/>
              <w:rPr>
                <w:rFonts w:cs="Times New Roman"/>
                <w:b/>
                <w:bCs/>
              </w:rPr>
            </w:pPr>
            <w:r>
              <w:rPr>
                <w:rFonts w:cs="Times New Roman"/>
                <w:b/>
                <w:bCs/>
              </w:rPr>
              <w:t>核心保护区</w:t>
            </w:r>
          </w:p>
        </w:tc>
        <w:tc>
          <w:tcPr>
            <w:tcW w:w="1953" w:type="pct"/>
            <w:vAlign w:val="center"/>
          </w:tcPr>
          <w:p w14:paraId="07C91BD1">
            <w:pPr>
              <w:adjustRightInd w:val="0"/>
              <w:spacing w:line="240" w:lineRule="auto"/>
              <w:jc w:val="center"/>
              <w:rPr>
                <w:rFonts w:cs="Times New Roman"/>
                <w:b/>
                <w:bCs/>
              </w:rPr>
            </w:pPr>
            <w:r>
              <w:rPr>
                <w:rFonts w:cs="Times New Roman"/>
                <w:b/>
                <w:bCs/>
              </w:rPr>
              <w:t>一般控制区</w:t>
            </w:r>
          </w:p>
        </w:tc>
        <w:tc>
          <w:tcPr>
            <w:tcW w:w="999" w:type="pct"/>
            <w:vMerge w:val="continue"/>
            <w:vAlign w:val="center"/>
          </w:tcPr>
          <w:p w14:paraId="493CDB38">
            <w:pPr>
              <w:adjustRightInd w:val="0"/>
              <w:spacing w:line="240" w:lineRule="auto"/>
              <w:jc w:val="center"/>
              <w:rPr>
                <w:rFonts w:cs="Times New Roman"/>
                <w:b/>
                <w:bCs/>
              </w:rPr>
            </w:pPr>
          </w:p>
        </w:tc>
      </w:tr>
      <w:tr w14:paraId="05D82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vAlign w:val="center"/>
          </w:tcPr>
          <w:p w14:paraId="5B535C10">
            <w:pPr>
              <w:adjustRightInd w:val="0"/>
              <w:spacing w:line="240" w:lineRule="auto"/>
              <w:jc w:val="center"/>
              <w:rPr>
                <w:rFonts w:cs="Times New Roman"/>
              </w:rPr>
            </w:pPr>
            <w:r>
              <w:rPr>
                <w:rFonts w:cs="Times New Roman"/>
              </w:rPr>
              <w:t>水域</w:t>
            </w:r>
            <w:r>
              <w:rPr>
                <w:rFonts w:hint="eastAsia" w:cs="Times New Roman"/>
              </w:rPr>
              <w:t>（</w:t>
            </w:r>
            <w:r>
              <w:rPr>
                <w:rFonts w:cs="Times New Roman"/>
              </w:rPr>
              <w:t>河流</w:t>
            </w:r>
            <w:r>
              <w:rPr>
                <w:rFonts w:hint="eastAsia" w:cs="Times New Roman"/>
              </w:rPr>
              <w:t>）</w:t>
            </w:r>
          </w:p>
        </w:tc>
        <w:tc>
          <w:tcPr>
            <w:tcW w:w="1114" w:type="pct"/>
            <w:vAlign w:val="center"/>
          </w:tcPr>
          <w:p w14:paraId="27FFB671">
            <w:pPr>
              <w:adjustRightInd w:val="0"/>
              <w:spacing w:line="240" w:lineRule="auto"/>
              <w:rPr>
                <w:rFonts w:cs="Times New Roman"/>
              </w:rPr>
            </w:pPr>
            <w:r>
              <w:rPr>
                <w:rFonts w:cs="Times New Roman"/>
              </w:rPr>
              <w:t>水文及水生态环境监测设施布设、管理巡护保护，经批准的科学研究、资源调查，防灾减灾，应急救援、生态修复及病害动植物处理等。</w:t>
            </w:r>
          </w:p>
        </w:tc>
        <w:tc>
          <w:tcPr>
            <w:tcW w:w="1953" w:type="pct"/>
            <w:vAlign w:val="center"/>
          </w:tcPr>
          <w:p w14:paraId="1806E4B8">
            <w:pPr>
              <w:adjustRightInd w:val="0"/>
              <w:spacing w:line="240" w:lineRule="auto"/>
              <w:rPr>
                <w:rFonts w:cs="Times New Roman"/>
              </w:rPr>
            </w:pPr>
            <w:r>
              <w:rPr>
                <w:rFonts w:hint="eastAsia" w:cs="Times New Roman"/>
              </w:rPr>
              <w:t>核心保护区允许的行为，生态补水、清淤疏浚、采砂区整治、水生态水环境治理与修复工程。</w:t>
            </w:r>
          </w:p>
        </w:tc>
        <w:tc>
          <w:tcPr>
            <w:tcW w:w="999" w:type="pct"/>
            <w:vAlign w:val="center"/>
          </w:tcPr>
          <w:p w14:paraId="5B812E40">
            <w:pPr>
              <w:adjustRightInd w:val="0"/>
              <w:spacing w:line="240" w:lineRule="auto"/>
              <w:rPr>
                <w:rFonts w:cs="Times New Roman"/>
              </w:rPr>
            </w:pPr>
            <w:r>
              <w:rPr>
                <w:rFonts w:hint="eastAsia" w:cs="Times New Roman"/>
              </w:rPr>
              <w:t>针对水质未达标重要河流水功能区，严格新建、扩建入河排污口；改建入河排污口不得增加入河污染量；鱼塘养殖、无序采砂；严格限制围垦及城镇开发建设等。</w:t>
            </w:r>
          </w:p>
        </w:tc>
      </w:tr>
      <w:tr w14:paraId="6A36B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vMerge w:val="restart"/>
            <w:vAlign w:val="center"/>
          </w:tcPr>
          <w:p w14:paraId="73242523">
            <w:pPr>
              <w:adjustRightInd w:val="0"/>
              <w:spacing w:line="240" w:lineRule="auto"/>
              <w:rPr>
                <w:rFonts w:cs="Times New Roman"/>
              </w:rPr>
            </w:pPr>
            <w:r>
              <w:rPr>
                <w:rFonts w:hint="eastAsia" w:cs="Times New Roman"/>
              </w:rPr>
              <w:t>水源涵养与水土保持</w:t>
            </w:r>
          </w:p>
        </w:tc>
        <w:tc>
          <w:tcPr>
            <w:tcW w:w="1114" w:type="pct"/>
            <w:vAlign w:val="center"/>
          </w:tcPr>
          <w:p w14:paraId="4CB191CC">
            <w:pPr>
              <w:adjustRightInd w:val="0"/>
              <w:spacing w:line="240" w:lineRule="auto"/>
              <w:rPr>
                <w:rFonts w:cs="Times New Roman"/>
              </w:rPr>
            </w:pPr>
            <w:r>
              <w:t>江河源头区及重要水源补给区植树造林、封育保护、水土保持、生态移民等，水土保持规划封育措施，林草种植、退田还林，滑坡泥石流治理及维护，水土保持监测设施布设、环境地质灾害治理及运行维护等。</w:t>
            </w:r>
          </w:p>
        </w:tc>
        <w:tc>
          <w:tcPr>
            <w:tcW w:w="1953" w:type="pct"/>
            <w:vAlign w:val="center"/>
          </w:tcPr>
          <w:p w14:paraId="5333101B">
            <w:pPr>
              <w:adjustRightInd w:val="0"/>
              <w:spacing w:line="240" w:lineRule="auto"/>
              <w:rPr>
                <w:rFonts w:cs="Times New Roman"/>
              </w:rPr>
            </w:pPr>
            <w:r>
              <w:t>核心保护区允许的行为，已有的合法水利交通设施运行维护、资源开发活动、适度旅游、经批准的科学研究观测和考古活动，符合绿水青山转化为金山银山的生态产品。</w:t>
            </w:r>
          </w:p>
        </w:tc>
        <w:tc>
          <w:tcPr>
            <w:tcW w:w="999" w:type="pct"/>
            <w:vMerge w:val="restart"/>
            <w:vAlign w:val="center"/>
          </w:tcPr>
          <w:p w14:paraId="68FDC335">
            <w:pPr>
              <w:adjustRightInd w:val="0"/>
              <w:spacing w:line="240" w:lineRule="auto"/>
              <w:rPr>
                <w:rFonts w:cs="Times New Roman"/>
              </w:rPr>
            </w:pPr>
            <w:r>
              <w:rPr>
                <w:rFonts w:cs="Times New Roman"/>
              </w:rPr>
              <w:t>依据相关规范要求，限制砍伐林草植被、挖沙取土、放牧养殖、城镇开发建设、采矿及探矿等破坏性活动；依据水土保持法要求，限制大规模农田开垦、采矿及城镇开发建设等。</w:t>
            </w:r>
          </w:p>
        </w:tc>
      </w:tr>
      <w:tr w14:paraId="22096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pct"/>
            <w:vMerge w:val="continue"/>
            <w:vAlign w:val="center"/>
          </w:tcPr>
          <w:p w14:paraId="78A1D2CF">
            <w:pPr>
              <w:adjustRightInd w:val="0"/>
              <w:spacing w:line="240" w:lineRule="auto"/>
              <w:rPr>
                <w:rFonts w:cs="Times New Roman"/>
              </w:rPr>
            </w:pPr>
          </w:p>
        </w:tc>
        <w:tc>
          <w:tcPr>
            <w:tcW w:w="3067" w:type="pct"/>
            <w:gridSpan w:val="2"/>
            <w:vAlign w:val="center"/>
          </w:tcPr>
          <w:p w14:paraId="5D9A0F10">
            <w:pPr>
              <w:adjustRightInd w:val="0"/>
              <w:spacing w:line="240" w:lineRule="auto"/>
            </w:pPr>
            <w:r>
              <w:t>国家特殊战略需要以及涉及生态安全、供水安全、防洪安全等涉水基础设施。</w:t>
            </w:r>
          </w:p>
        </w:tc>
        <w:tc>
          <w:tcPr>
            <w:tcW w:w="999" w:type="pct"/>
            <w:vMerge w:val="continue"/>
            <w:vAlign w:val="center"/>
          </w:tcPr>
          <w:p w14:paraId="7A40C66E">
            <w:pPr>
              <w:adjustRightInd w:val="0"/>
              <w:spacing w:line="240" w:lineRule="auto"/>
              <w:rPr>
                <w:rFonts w:cs="Times New Roman"/>
              </w:rPr>
            </w:pPr>
          </w:p>
        </w:tc>
      </w:tr>
    </w:tbl>
    <w:p w14:paraId="1B16C759"/>
    <w:p w14:paraId="75993477">
      <w:pPr>
        <w:sectPr>
          <w:pgSz w:w="16838" w:h="11906" w:orient="landscape"/>
          <w:pgMar w:top="1800" w:right="1440" w:bottom="1800" w:left="1440" w:header="851" w:footer="992" w:gutter="0"/>
          <w:cols w:space="425" w:num="1"/>
          <w:docGrid w:type="lines" w:linePitch="326" w:charSpace="0"/>
        </w:sectPr>
      </w:pPr>
    </w:p>
    <w:p w14:paraId="4C0D4322">
      <w:pPr>
        <w:pStyle w:val="4"/>
        <w:widowControl/>
        <w:adjustRightInd w:val="0"/>
        <w:spacing w:before="0" w:after="0" w:line="360" w:lineRule="auto"/>
        <w:jc w:val="left"/>
        <w:rPr>
          <w:rFonts w:eastAsia="黑体" w:cs="Times New Roman"/>
          <w:b w:val="0"/>
          <w:bCs w:val="0"/>
          <w:kern w:val="0"/>
          <w:sz w:val="28"/>
          <w:szCs w:val="28"/>
        </w:rPr>
      </w:pPr>
      <w:bookmarkStart w:id="158" w:name="_Toc198652081"/>
      <w:r>
        <w:rPr>
          <w:rFonts w:hint="eastAsia" w:eastAsia="黑体" w:cs="Times New Roman"/>
          <w:b w:val="0"/>
          <w:bCs w:val="0"/>
          <w:kern w:val="0"/>
          <w:sz w:val="28"/>
          <w:szCs w:val="28"/>
        </w:rPr>
        <w:t>6.2.2</w:t>
      </w:r>
      <w:r>
        <w:rPr>
          <w:rFonts w:eastAsia="黑体" w:cs="Times New Roman"/>
          <w:b w:val="0"/>
          <w:bCs w:val="0"/>
          <w:kern w:val="0"/>
          <w:sz w:val="28"/>
          <w:szCs w:val="28"/>
        </w:rPr>
        <w:t>涉水生态空间与其他空间协调</w:t>
      </w:r>
      <w:bookmarkEnd w:id="158"/>
    </w:p>
    <w:p w14:paraId="4E4C2370">
      <w:pPr>
        <w:widowControl/>
        <w:adjustRightInd w:val="0"/>
        <w:ind w:firstLine="560" w:firstLineChars="200"/>
        <w:rPr>
          <w:rFonts w:cs="Times New Roman"/>
          <w:sz w:val="28"/>
          <w:szCs w:val="28"/>
        </w:rPr>
      </w:pPr>
      <w:r>
        <w:rPr>
          <w:rFonts w:cs="Times New Roman"/>
          <w:sz w:val="28"/>
          <w:szCs w:val="28"/>
        </w:rPr>
        <w:t>国土空间分为农业空间、生态空间、城镇空间三种类型，水生态空间是构成生态空间的核心要素和关键组成，对其他类型的空间起到重要的支撑和保障作用。本规划针对与涉水生态空间关系密切的其他空间，主要包括永久基本农田和生态保护红线等提出原则性协调要求</w:t>
      </w:r>
      <w:r>
        <w:rPr>
          <w:rFonts w:hint="eastAsia" w:cs="Times New Roman"/>
          <w:sz w:val="28"/>
          <w:szCs w:val="28"/>
        </w:rPr>
        <w:t>。</w:t>
      </w:r>
    </w:p>
    <w:p w14:paraId="3D03C52F">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cs="Times New Roman"/>
          <w:b/>
          <w:bCs/>
          <w:sz w:val="28"/>
          <w:szCs w:val="28"/>
        </w:rPr>
        <w:t>与永久基本农田协调</w:t>
      </w:r>
    </w:p>
    <w:p w14:paraId="5938FD83">
      <w:pPr>
        <w:widowControl/>
        <w:adjustRightInd w:val="0"/>
        <w:ind w:firstLine="560" w:firstLineChars="200"/>
        <w:rPr>
          <w:rFonts w:cs="Times New Roman"/>
          <w:sz w:val="28"/>
          <w:szCs w:val="28"/>
        </w:rPr>
      </w:pPr>
      <w:r>
        <w:rPr>
          <w:rFonts w:cs="Times New Roman"/>
          <w:sz w:val="28"/>
          <w:szCs w:val="28"/>
        </w:rPr>
        <w:t>优化重大水利工程选址选线，尽量避免占用永久基本农田，对难以避让永久基本农田的，需提出永久基本农田优化调整方案，按有关规定报批。</w:t>
      </w:r>
    </w:p>
    <w:p w14:paraId="7C83D44C">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cs="Times New Roman"/>
          <w:b/>
          <w:bCs/>
          <w:sz w:val="28"/>
          <w:szCs w:val="28"/>
        </w:rPr>
        <w:t>与生态保护红线协调</w:t>
      </w:r>
    </w:p>
    <w:p w14:paraId="518F0D09">
      <w:pPr>
        <w:widowControl/>
        <w:adjustRightInd w:val="0"/>
        <w:ind w:firstLine="560" w:firstLineChars="200"/>
        <w:rPr>
          <w:rFonts w:cs="Times New Roman"/>
          <w:sz w:val="28"/>
          <w:szCs w:val="28"/>
        </w:rPr>
      </w:pPr>
      <w:r>
        <w:rPr>
          <w:rFonts w:cs="Times New Roman"/>
          <w:sz w:val="28"/>
          <w:szCs w:val="28"/>
        </w:rPr>
        <w:t>在实施时应进一步优化调整工程布局和用地范围，优先避让生态保护红线核心区，确实无法避让的，需依法依规履行相关行政许可程序。对涉及生态保护红线一般控制区的防洪、供水及生态保护修复等重大水利工程，按照生态保护红线管控要求实施正面准入。加强与自然资源、生态环境等部门的沟通联动，积极协调争取将规划重点水利项目用地调出生态保护红线或纳入环境准入正面清单。</w:t>
      </w:r>
    </w:p>
    <w:p w14:paraId="48831BAA">
      <w:pPr>
        <w:pStyle w:val="4"/>
        <w:widowControl/>
        <w:adjustRightInd w:val="0"/>
        <w:spacing w:before="0" w:after="0" w:line="360" w:lineRule="auto"/>
        <w:jc w:val="left"/>
        <w:rPr>
          <w:rFonts w:eastAsia="黑体" w:cs="Times New Roman"/>
          <w:b w:val="0"/>
          <w:bCs w:val="0"/>
          <w:kern w:val="0"/>
          <w:sz w:val="28"/>
          <w:szCs w:val="28"/>
        </w:rPr>
      </w:pPr>
      <w:bookmarkStart w:id="159" w:name="_Toc198652082"/>
      <w:r>
        <w:rPr>
          <w:rFonts w:hint="eastAsia" w:eastAsia="黑体" w:cs="Times New Roman"/>
          <w:b w:val="0"/>
          <w:bCs w:val="0"/>
          <w:kern w:val="0"/>
          <w:sz w:val="28"/>
          <w:szCs w:val="28"/>
        </w:rPr>
        <w:t>6.2.3</w:t>
      </w:r>
      <w:r>
        <w:rPr>
          <w:rFonts w:eastAsia="黑体" w:cs="Times New Roman"/>
          <w:b w:val="0"/>
          <w:bCs w:val="0"/>
          <w:kern w:val="0"/>
          <w:sz w:val="28"/>
          <w:szCs w:val="28"/>
        </w:rPr>
        <w:t>重大水利基础设施预留空间</w:t>
      </w:r>
      <w:bookmarkEnd w:id="159"/>
    </w:p>
    <w:p w14:paraId="29BC65A7">
      <w:pPr>
        <w:widowControl/>
        <w:adjustRightInd w:val="0"/>
        <w:ind w:firstLine="560" w:firstLineChars="200"/>
        <w:rPr>
          <w:rFonts w:cs="Times New Roman"/>
          <w:sz w:val="28"/>
          <w:szCs w:val="28"/>
        </w:rPr>
      </w:pPr>
      <w:r>
        <w:rPr>
          <w:rFonts w:cs="Times New Roman"/>
          <w:sz w:val="28"/>
          <w:szCs w:val="28"/>
        </w:rPr>
        <w:t>为深度融合国土空间规划，充分协调水利工程布置与城镇空间、农业空间、生态空间的关系，河道综合治理等重点工程，均需与国土空间规划进行对接，并针对谋划的重大工程，根据工作推进进度，随时与国土空间管理部门动态联系，确保重大水利基础设施建设空间的保障。</w:t>
      </w:r>
    </w:p>
    <w:p w14:paraId="664ECC8B">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60" w:name="_Toc198652083"/>
      <w:r>
        <w:rPr>
          <w:rFonts w:hint="eastAsia" w:ascii="Times New Roman" w:hAnsi="Times New Roman" w:eastAsia="黑体" w:cs="Times New Roman"/>
          <w:b w:val="0"/>
          <w:bCs w:val="0"/>
          <w:kern w:val="0"/>
          <w:sz w:val="28"/>
          <w:szCs w:val="28"/>
        </w:rPr>
        <w:t>6.3</w:t>
      </w:r>
      <w:r>
        <w:rPr>
          <w:rFonts w:ascii="Times New Roman" w:hAnsi="Times New Roman" w:eastAsia="黑体" w:cs="Times New Roman"/>
          <w:b w:val="0"/>
          <w:bCs w:val="0"/>
          <w:kern w:val="0"/>
          <w:sz w:val="28"/>
          <w:szCs w:val="28"/>
        </w:rPr>
        <w:t>水土保持与水源涵养</w:t>
      </w:r>
      <w:bookmarkEnd w:id="160"/>
    </w:p>
    <w:p w14:paraId="3FDB1A5B">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包头市位于《全国主体功能区规划》的国家重点生态功能区和农产品主产区，是“两屏三带”生态安全战略格局中的北方防沙带，也是保障国家和自治区生态安全的重要防风固沙区。水土保持与水源涵养是对自然因素和人为活动造成水土流失所采取的预防和治理措施，是生态文明建设的重要组成部分，是治理江河、根除水患的治本之策，是山丘区小康社会建设和新农村建设的基础工程，对包头经济社会高质量发展具有重要意义。</w:t>
      </w:r>
    </w:p>
    <w:p w14:paraId="7878A338">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九原区作为包头市辖区，在</w:t>
      </w:r>
      <w:r>
        <w:rPr>
          <w:rFonts w:cs="Times New Roman"/>
          <w:color w:val="000000" w:themeColor="text1"/>
          <w:sz w:val="28"/>
          <w:szCs w:val="28"/>
          <w14:textFill>
            <w14:solidFill>
              <w14:schemeClr w14:val="tx1"/>
            </w14:solidFill>
          </w14:textFill>
        </w:rPr>
        <w:t>“两屏三带”生态安全战略格局</w:t>
      </w:r>
      <w:r>
        <w:rPr>
          <w:rFonts w:hint="eastAsia" w:cs="Times New Roman"/>
          <w:color w:val="000000" w:themeColor="text1"/>
          <w:sz w:val="28"/>
          <w:szCs w:val="28"/>
          <w14:textFill>
            <w14:solidFill>
              <w14:schemeClr w14:val="tx1"/>
            </w14:solidFill>
          </w14:textFill>
        </w:rPr>
        <w:t>起重要作用。</w:t>
      </w:r>
    </w:p>
    <w:p w14:paraId="2BBB7AE8">
      <w:pPr>
        <w:pStyle w:val="4"/>
        <w:widowControl/>
        <w:adjustRightInd w:val="0"/>
        <w:spacing w:before="0" w:after="0" w:line="360" w:lineRule="auto"/>
        <w:jc w:val="left"/>
        <w:rPr>
          <w:rFonts w:eastAsia="黑体" w:cs="Times New Roman"/>
          <w:b w:val="0"/>
          <w:bCs w:val="0"/>
          <w:kern w:val="0"/>
          <w:sz w:val="28"/>
          <w:szCs w:val="28"/>
        </w:rPr>
      </w:pPr>
      <w:bookmarkStart w:id="161" w:name="_Toc198652084"/>
      <w:r>
        <w:rPr>
          <w:rFonts w:hint="eastAsia" w:eastAsia="黑体" w:cs="Times New Roman"/>
          <w:b w:val="0"/>
          <w:bCs w:val="0"/>
          <w:kern w:val="0"/>
          <w:sz w:val="28"/>
          <w:szCs w:val="28"/>
        </w:rPr>
        <w:t>6.3.1</w:t>
      </w:r>
      <w:r>
        <w:rPr>
          <w:rFonts w:eastAsia="黑体" w:cs="Times New Roman"/>
          <w:b w:val="0"/>
          <w:bCs w:val="0"/>
          <w:kern w:val="0"/>
          <w:sz w:val="28"/>
          <w:szCs w:val="28"/>
        </w:rPr>
        <w:t>水土保持治理片区</w:t>
      </w:r>
      <w:bookmarkEnd w:id="161"/>
    </w:p>
    <w:p w14:paraId="1C438A26">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九原区现状全区水土流失面积为330.84km</w:t>
      </w:r>
      <w:r>
        <w:rPr>
          <w:rFonts w:hint="eastAsia" w:cs="Times New Roman"/>
          <w:color w:val="000000" w:themeColor="text1"/>
          <w:sz w:val="28"/>
          <w:szCs w:val="28"/>
          <w:vertAlign w:val="superscript"/>
          <w14:textFill>
            <w14:solidFill>
              <w14:schemeClr w14:val="tx1"/>
            </w14:solidFill>
          </w14:textFill>
        </w:rPr>
        <w:t>2</w:t>
      </w:r>
      <w:r>
        <w:rPr>
          <w:rFonts w:hint="eastAsia" w:cs="Times New Roman"/>
          <w:color w:val="000000" w:themeColor="text1"/>
          <w:sz w:val="28"/>
          <w:szCs w:val="28"/>
          <w14:textFill>
            <w14:solidFill>
              <w14:schemeClr w14:val="tx1"/>
            </w14:solidFill>
          </w14:textFill>
        </w:rPr>
        <w:t>，根据黄河流域水土流失分布及危害、防治现状与需求分析，结合水土流失重点防治区划分成果，兼顾与国家、自治区已有水土保持专项规划任务的衔接性，确定水土流失治理范围主要包括：黄河干流、重要支流、山洪沟和湖库淤积影响较大的水土流失区域；水土流失已严重威胁土地资源，造成生产力下降，直接影响农业生产和农村生活，急需开展抢救性、保护性治理的区域；直接威胁生产生活的、具有山洪滑坡泥石流潜在危害的区域；矿产资源开发等人为活动造成水土流失严重的区域；水土流失严重、需要治理的其他区域。</w:t>
      </w:r>
    </w:p>
    <w:p w14:paraId="5262B850">
      <w:pPr>
        <w:pStyle w:val="4"/>
        <w:widowControl/>
        <w:adjustRightInd w:val="0"/>
        <w:spacing w:before="0" w:after="0" w:line="360" w:lineRule="auto"/>
        <w:jc w:val="left"/>
        <w:rPr>
          <w:rFonts w:eastAsia="黑体" w:cs="Times New Roman"/>
          <w:b w:val="0"/>
          <w:bCs w:val="0"/>
          <w:kern w:val="0"/>
          <w:sz w:val="28"/>
          <w:szCs w:val="28"/>
        </w:rPr>
      </w:pPr>
      <w:bookmarkStart w:id="162" w:name="_Toc198652085"/>
      <w:r>
        <w:rPr>
          <w:rFonts w:hint="eastAsia" w:eastAsia="黑体" w:cs="Times New Roman"/>
          <w:b w:val="0"/>
          <w:bCs w:val="0"/>
          <w:kern w:val="0"/>
          <w:sz w:val="28"/>
          <w:szCs w:val="28"/>
        </w:rPr>
        <w:t>6.3.2</w:t>
      </w:r>
      <w:r>
        <w:rPr>
          <w:rFonts w:eastAsia="黑体" w:cs="Times New Roman"/>
          <w:b w:val="0"/>
          <w:bCs w:val="0"/>
          <w:kern w:val="0"/>
          <w:sz w:val="28"/>
          <w:szCs w:val="28"/>
        </w:rPr>
        <w:t>水土保持重点措施</w:t>
      </w:r>
      <w:bookmarkEnd w:id="162"/>
    </w:p>
    <w:p w14:paraId="6154FCAE">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w:t>
      </w:r>
      <w:r>
        <w:rPr>
          <w:rFonts w:cs="Times New Roman"/>
          <w:color w:val="000000" w:themeColor="text1"/>
          <w:sz w:val="28"/>
          <w:szCs w:val="28"/>
          <w14:textFill>
            <w14:solidFill>
              <w14:schemeClr w14:val="tx1"/>
            </w14:solidFill>
          </w14:textFill>
        </w:rPr>
        <w:t>遵循《黄河流域生态保护和高质量发展规划纲要》对黄土高原上游水土保持工作的要求，</w:t>
      </w:r>
      <w:r>
        <w:rPr>
          <w:rFonts w:hint="eastAsia" w:cs="Times New Roman"/>
          <w:color w:val="000000" w:themeColor="text1"/>
          <w:sz w:val="28"/>
          <w:szCs w:val="28"/>
          <w14:textFill>
            <w14:solidFill>
              <w14:schemeClr w14:val="tx1"/>
            </w14:solidFill>
          </w14:textFill>
        </w:rPr>
        <w:t>按照水土保持类型区开展水土流失综合治理，大力推进生态清洁小流域建设。治理措施主要包括工程措施、林草措施、耕作措施和封育治理措施。</w:t>
      </w:r>
    </w:p>
    <w:p w14:paraId="31B61C73">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工程措施：主要包括坡面水保整地、沟头防护、雨水集蓄利用、径流排导等坡面治理工程，拦沙坝、护坡护岸、沟头防护等沟道治理工程，引洪滞沙等土地整治工程。</w:t>
      </w:r>
    </w:p>
    <w:p w14:paraId="0B25CBB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林草措施：主要包括营造水土保持林、经果林、等高植物篱（带）、防护格网林带，建设人工草地草场，发展复合农林业，开发与利用高效水土保持经济植物等。</w:t>
      </w:r>
    </w:p>
    <w:p w14:paraId="1C31DC23">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耕作措施：主要包括垄向区田、等高耕作、网格垄作、免耕少耕、草田轮作、间作套种等。</w:t>
      </w:r>
    </w:p>
    <w:p w14:paraId="703A46E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封育治理措施：主要包括封禁保护、抚育更新、补植补种、改良草场、草库伦建设等。</w:t>
      </w:r>
    </w:p>
    <w:p w14:paraId="695B2DD7">
      <w:pPr>
        <w:widowControl/>
        <w:adjustRightInd w:val="0"/>
        <w:spacing w:line="240" w:lineRule="auto"/>
        <w:jc w:val="center"/>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t>专栏6-1</w:t>
      </w:r>
      <w:r>
        <w:rPr>
          <w:rFonts w:hint="eastAsia" w:cs="Times New Roman"/>
          <w:b/>
          <w:bCs/>
          <w:color w:val="000000" w:themeColor="text1"/>
          <w:sz w:val="28"/>
          <w:szCs w:val="28"/>
          <w14:textFill>
            <w14:solidFill>
              <w14:schemeClr w14:val="tx1"/>
            </w14:solidFill>
          </w14:textFill>
        </w:rPr>
        <w:t xml:space="preserve">  </w:t>
      </w:r>
      <w:r>
        <w:rPr>
          <w:rFonts w:cs="Times New Roman"/>
          <w:b/>
          <w:bCs/>
          <w:color w:val="000000" w:themeColor="text1"/>
          <w:sz w:val="28"/>
          <w:szCs w:val="28"/>
          <w14:textFill>
            <w14:solidFill>
              <w14:schemeClr w14:val="tx1"/>
            </w14:solidFill>
          </w14:textFill>
        </w:rPr>
        <w:t>水土保持综合治理工程建设</w:t>
      </w:r>
    </w:p>
    <w:p w14:paraId="4CF5D1C0">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color w:val="000000" w:themeColor="text1"/>
          <w:szCs w:val="24"/>
          <w14:textFill>
            <w14:solidFill>
              <w14:schemeClr w14:val="tx1"/>
            </w14:solidFill>
          </w14:textFill>
        </w:rPr>
      </w:pPr>
      <w:r>
        <w:rPr>
          <w:rFonts w:hint="eastAsia" w:cs="Times New Roman"/>
          <w:b/>
          <w:bCs/>
          <w:color w:val="000000" w:themeColor="text1"/>
          <w:szCs w:val="24"/>
          <w14:textFill>
            <w14:solidFill>
              <w14:schemeClr w14:val="tx1"/>
            </w14:solidFill>
          </w14:textFill>
        </w:rPr>
        <w:t>01</w:t>
      </w:r>
      <w:r>
        <w:rPr>
          <w:rFonts w:cs="Times New Roman"/>
          <w:b/>
          <w:bCs/>
          <w:color w:val="000000" w:themeColor="text1"/>
          <w:szCs w:val="24"/>
          <w14:textFill>
            <w14:solidFill>
              <w14:schemeClr w14:val="tx1"/>
            </w14:solidFill>
          </w14:textFill>
        </w:rPr>
        <w:t>九原区小流域综合治理工程。</w:t>
      </w:r>
      <w:r>
        <w:rPr>
          <w:rFonts w:cs="Times New Roman"/>
          <w:color w:val="000000" w:themeColor="text1"/>
          <w:szCs w:val="24"/>
          <w14:textFill>
            <w14:solidFill>
              <w14:schemeClr w14:val="tx1"/>
            </w14:solidFill>
          </w14:textFill>
        </w:rPr>
        <w:t>治理水土流失面积</w:t>
      </w:r>
      <w:r>
        <w:rPr>
          <w:rFonts w:hint="eastAsia" w:cs="Times New Roman"/>
          <w:color w:val="000000" w:themeColor="text1"/>
          <w:szCs w:val="24"/>
          <w14:textFill>
            <w14:solidFill>
              <w14:schemeClr w14:val="tx1"/>
            </w14:solidFill>
          </w14:textFill>
        </w:rPr>
        <w:t>18</w:t>
      </w:r>
      <w:r>
        <w:rPr>
          <w:rFonts w:cs="Times New Roman"/>
          <w:color w:val="000000" w:themeColor="text1"/>
          <w:szCs w:val="24"/>
          <w14:textFill>
            <w14:solidFill>
              <w14:schemeClr w14:val="tx1"/>
            </w14:solidFill>
          </w14:textFill>
        </w:rPr>
        <w:t>0km</w:t>
      </w:r>
      <w:r>
        <w:rPr>
          <w:rFonts w:cs="Times New Roman"/>
          <w:color w:val="000000" w:themeColor="text1"/>
          <w:szCs w:val="24"/>
          <w:vertAlign w:val="superscript"/>
          <w14:textFill>
            <w14:solidFill>
              <w14:schemeClr w14:val="tx1"/>
            </w14:solidFill>
          </w14:textFill>
        </w:rPr>
        <w:t>2</w:t>
      </w:r>
      <w:r>
        <w:rPr>
          <w:rFonts w:cs="Times New Roman"/>
          <w:color w:val="000000" w:themeColor="text1"/>
          <w:szCs w:val="24"/>
          <w14:textFill>
            <w14:solidFill>
              <w14:schemeClr w14:val="tx1"/>
            </w14:solidFill>
          </w14:textFill>
        </w:rPr>
        <w:t>。规划2035年之后完成建设内容。</w:t>
      </w:r>
    </w:p>
    <w:p w14:paraId="02E0CC5A">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color w:val="000000" w:themeColor="text1"/>
          <w:szCs w:val="24"/>
          <w14:textFill>
            <w14:solidFill>
              <w14:schemeClr w14:val="tx1"/>
            </w14:solidFill>
          </w14:textFill>
        </w:rPr>
      </w:pPr>
      <w:r>
        <w:rPr>
          <w:rFonts w:hint="eastAsia" w:cs="Times New Roman"/>
          <w:b/>
          <w:bCs/>
          <w:color w:val="000000" w:themeColor="text1"/>
          <w:szCs w:val="24"/>
          <w14:textFill>
            <w14:solidFill>
              <w14:schemeClr w14:val="tx1"/>
            </w14:solidFill>
          </w14:textFill>
        </w:rPr>
        <w:t>02河道整治工程。</w:t>
      </w:r>
      <w:r>
        <w:rPr>
          <w:rFonts w:hint="eastAsia" w:cs="Times New Roman"/>
          <w:color w:val="000000" w:themeColor="text1"/>
          <w:szCs w:val="24"/>
          <w14:textFill>
            <w14:solidFill>
              <w14:schemeClr w14:val="tx1"/>
            </w14:solidFill>
          </w14:textFill>
        </w:rPr>
        <w:t>综合河道治理13.200km。沿湖周围绿化面积1200亩</w:t>
      </w:r>
    </w:p>
    <w:p w14:paraId="7E0D8FD1">
      <w:pPr>
        <w:pStyle w:val="4"/>
        <w:widowControl/>
        <w:adjustRightInd w:val="0"/>
        <w:spacing w:before="156" w:beforeLines="50" w:after="0" w:line="360" w:lineRule="auto"/>
        <w:jc w:val="left"/>
        <w:rPr>
          <w:rFonts w:eastAsia="黑体" w:cs="Times New Roman"/>
          <w:b w:val="0"/>
          <w:bCs w:val="0"/>
          <w:kern w:val="0"/>
          <w:sz w:val="28"/>
          <w:szCs w:val="28"/>
        </w:rPr>
      </w:pPr>
      <w:bookmarkStart w:id="163" w:name="_Toc198652086"/>
      <w:r>
        <w:rPr>
          <w:rFonts w:hint="eastAsia" w:eastAsia="黑体" w:cs="Times New Roman"/>
          <w:b w:val="0"/>
          <w:bCs w:val="0"/>
          <w:kern w:val="0"/>
          <w:sz w:val="28"/>
          <w:szCs w:val="28"/>
        </w:rPr>
        <w:t>6.3.3</w:t>
      </w:r>
      <w:r>
        <w:rPr>
          <w:rFonts w:eastAsia="黑体" w:cs="Times New Roman"/>
          <w:b w:val="0"/>
          <w:bCs w:val="0"/>
          <w:kern w:val="0"/>
          <w:sz w:val="28"/>
          <w:szCs w:val="28"/>
        </w:rPr>
        <w:t>水土保持综合监管能力建设</w:t>
      </w:r>
      <w:bookmarkEnd w:id="163"/>
    </w:p>
    <w:p w14:paraId="3AEBD099">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构建完善水土保持监测体系。建立健全以监测站点监测为基础，常态化动态监测为主，坡耕地专项调查为补充的水土保持监测体系。强化卫星遥感、无人机监测和地面观测有机融合，构建点面结合、天空地一体化的水土保持感知网，及时精准掌握</w:t>
      </w:r>
      <w:r>
        <w:rPr>
          <w:rFonts w:hint="eastAsia" w:cs="Times New Roman"/>
          <w:color w:val="000000" w:themeColor="text1"/>
          <w:sz w:val="28"/>
          <w:szCs w:val="28"/>
          <w14:textFill>
            <w14:solidFill>
              <w14:schemeClr w14:val="tx1"/>
            </w14:solidFill>
          </w14:textFill>
        </w:rPr>
        <w:t>全区</w:t>
      </w:r>
      <w:r>
        <w:rPr>
          <w:rFonts w:cs="Times New Roman"/>
          <w:color w:val="000000" w:themeColor="text1"/>
          <w:sz w:val="28"/>
          <w:szCs w:val="28"/>
          <w14:textFill>
            <w14:solidFill>
              <w14:schemeClr w14:val="tx1"/>
            </w14:solidFill>
          </w14:textFill>
        </w:rPr>
        <w:t>及重点关注区域水土流失状况及变化情况，全面开展水土流失动态监测。提升水土保持综合管理能力。</w:t>
      </w:r>
      <w:r>
        <w:rPr>
          <w:rFonts w:hint="eastAsia" w:cs="Times New Roman"/>
          <w:color w:val="000000" w:themeColor="text1"/>
          <w:sz w:val="28"/>
          <w:szCs w:val="28"/>
          <w14:textFill>
            <w14:solidFill>
              <w14:schemeClr w14:val="tx1"/>
            </w14:solidFill>
          </w14:textFill>
        </w:rPr>
        <w:t>配合包头市</w:t>
      </w:r>
      <w:r>
        <w:rPr>
          <w:rFonts w:cs="Times New Roman"/>
          <w:color w:val="000000" w:themeColor="text1"/>
          <w:sz w:val="28"/>
          <w:szCs w:val="28"/>
          <w14:textFill>
            <w14:solidFill>
              <w14:schemeClr w14:val="tx1"/>
            </w14:solidFill>
          </w14:textFill>
        </w:rPr>
        <w:t>全面建立健全水土保持法规制度体系，着力强化水土保持法</w:t>
      </w:r>
      <w:r>
        <w:rPr>
          <w:rFonts w:hint="eastAsia" w:cs="Times New Roman"/>
          <w:color w:val="000000" w:themeColor="text1"/>
          <w:sz w:val="28"/>
          <w:szCs w:val="28"/>
          <w:lang w:eastAsia="zh-CN"/>
          <w14:textFill>
            <w14:solidFill>
              <w14:schemeClr w14:val="tx1"/>
            </w14:solidFill>
          </w14:textFill>
        </w:rPr>
        <w:t>治</w:t>
      </w:r>
      <w:r>
        <w:rPr>
          <w:rFonts w:cs="Times New Roman"/>
          <w:color w:val="000000" w:themeColor="text1"/>
          <w:sz w:val="28"/>
          <w:szCs w:val="28"/>
          <w14:textFill>
            <w14:solidFill>
              <w14:schemeClr w14:val="tx1"/>
            </w14:solidFill>
          </w14:textFill>
        </w:rPr>
        <w:t>宣传教育工作，深入开展水土保持监督管理现代化建设。在防治山地高原丘陵、风沙区、丘陵区水土流失的同时，加强水土保持监督管理，有效预防生产建设项目及城镇开发造成新的人为水土流失，合理利用和保护水土资源，为减少入河泥沙、治理水旱灾害、改善生态环境提供基础保障。</w:t>
      </w:r>
    </w:p>
    <w:p w14:paraId="50D2CDA0">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64" w:name="_Toc198652087"/>
      <w:r>
        <w:rPr>
          <w:rFonts w:hint="eastAsia" w:ascii="Times New Roman" w:hAnsi="Times New Roman" w:eastAsia="黑体" w:cs="Times New Roman"/>
          <w:b w:val="0"/>
          <w:bCs w:val="0"/>
          <w:kern w:val="0"/>
          <w:sz w:val="28"/>
          <w:szCs w:val="28"/>
        </w:rPr>
        <w:t>6.4</w:t>
      </w:r>
      <w:r>
        <w:rPr>
          <w:rFonts w:ascii="Times New Roman" w:hAnsi="Times New Roman" w:eastAsia="黑体" w:cs="Times New Roman"/>
          <w:b w:val="0"/>
          <w:bCs w:val="0"/>
          <w:kern w:val="0"/>
          <w:sz w:val="28"/>
          <w:szCs w:val="28"/>
        </w:rPr>
        <w:t>河流水生态保护与修复</w:t>
      </w:r>
      <w:bookmarkEnd w:id="164"/>
    </w:p>
    <w:p w14:paraId="2B0C2C7F">
      <w:pPr>
        <w:pStyle w:val="4"/>
        <w:widowControl/>
        <w:adjustRightInd w:val="0"/>
        <w:spacing w:before="0" w:after="0" w:line="360" w:lineRule="auto"/>
        <w:jc w:val="left"/>
        <w:rPr>
          <w:rFonts w:eastAsia="黑体" w:cs="Times New Roman"/>
          <w:b w:val="0"/>
          <w:bCs w:val="0"/>
          <w:kern w:val="0"/>
          <w:sz w:val="28"/>
          <w:szCs w:val="28"/>
        </w:rPr>
      </w:pPr>
      <w:bookmarkStart w:id="165" w:name="_Toc198652088"/>
      <w:r>
        <w:rPr>
          <w:rFonts w:hint="eastAsia" w:eastAsia="黑体" w:cs="Times New Roman"/>
          <w:b w:val="0"/>
          <w:bCs w:val="0"/>
          <w:kern w:val="0"/>
          <w:sz w:val="28"/>
          <w:szCs w:val="28"/>
        </w:rPr>
        <w:t>6.4.1</w:t>
      </w:r>
      <w:r>
        <w:rPr>
          <w:rFonts w:eastAsia="黑体" w:cs="Times New Roman"/>
          <w:b w:val="0"/>
          <w:bCs w:val="0"/>
          <w:kern w:val="0"/>
          <w:sz w:val="28"/>
          <w:szCs w:val="28"/>
        </w:rPr>
        <w:t>生态流量保障</w:t>
      </w:r>
      <w:bookmarkEnd w:id="165"/>
    </w:p>
    <w:p w14:paraId="4EA1ECB5">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根据</w:t>
      </w:r>
      <w:r>
        <w:rPr>
          <w:rFonts w:hint="eastAsia" w:cs="Times New Roman"/>
          <w:color w:val="000000" w:themeColor="text1"/>
          <w:sz w:val="28"/>
          <w:szCs w:val="28"/>
          <w14:textFill>
            <w14:solidFill>
              <w14:schemeClr w14:val="tx1"/>
            </w14:solidFill>
          </w14:textFill>
        </w:rPr>
        <w:t>九原区本地</w:t>
      </w:r>
      <w:r>
        <w:rPr>
          <w:rFonts w:cs="Times New Roman"/>
          <w:color w:val="000000" w:themeColor="text1"/>
          <w:sz w:val="28"/>
          <w:szCs w:val="28"/>
          <w14:textFill>
            <w14:solidFill>
              <w14:schemeClr w14:val="tx1"/>
            </w14:solidFill>
          </w14:textFill>
        </w:rPr>
        <w:t>水资源条件、开发利用状况和生态保护修复需求，因地制宜，合理确定重点河湖名录及其控制断面，同时统筹考虑防洪、供水、灌溉等综合利用，开展小白河湿地的主要补给河流生态需水量核算，科学合理确定河湖生态流量保障目标。结合水量调度、兴利调度、防洪调度要求，科学合理开展生态流量调度。开展主要河流控制性水利工程生态泄水设施排查，对不满足泄流要求的开展补建或改造。实施水系连通生态补水工程，加强生态需水管理，保障河流生态需水量。</w:t>
      </w:r>
    </w:p>
    <w:p w14:paraId="1DF98B35">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1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⑴</w:t>
      </w:r>
      <w:r>
        <w:rPr>
          <w:rFonts w:cs="Times New Roman"/>
          <w:b/>
          <w:bCs/>
          <w:color w:val="000000" w:themeColor="text1"/>
          <w:sz w:val="28"/>
          <w:szCs w:val="28"/>
          <w14:textFill>
            <w14:solidFill>
              <w14:schemeClr w14:val="tx1"/>
            </w14:solidFill>
          </w14:textFill>
        </w:rPr>
        <w:fldChar w:fldCharType="end"/>
      </w:r>
      <w:r>
        <w:rPr>
          <w:rFonts w:cs="Times New Roman"/>
          <w:b/>
          <w:bCs/>
          <w:color w:val="000000" w:themeColor="text1"/>
          <w:sz w:val="28"/>
          <w:szCs w:val="28"/>
          <w14:textFill>
            <w14:solidFill>
              <w14:schemeClr w14:val="tx1"/>
            </w14:solidFill>
          </w14:textFill>
        </w:rPr>
        <w:t>保障目标</w:t>
      </w:r>
    </w:p>
    <w:p w14:paraId="3171B2A7">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针对目前九原区及主要河道环境污染现状，按照建设生态型城镇的要求和节水型社会的总体目标，按照水质执行标准，确定治理目标。</w:t>
      </w:r>
    </w:p>
    <w:p w14:paraId="441178FC">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2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⑵</w:t>
      </w:r>
      <w:r>
        <w:rPr>
          <w:rFonts w:cs="Times New Roman"/>
          <w:b/>
          <w:bCs/>
          <w:color w:val="000000" w:themeColor="text1"/>
          <w:sz w:val="28"/>
          <w:szCs w:val="28"/>
          <w14:textFill>
            <w14:solidFill>
              <w14:schemeClr w14:val="tx1"/>
            </w14:solidFill>
          </w14:textFill>
        </w:rPr>
        <w:fldChar w:fldCharType="end"/>
      </w:r>
      <w:r>
        <w:rPr>
          <w:rFonts w:cs="Times New Roman"/>
          <w:b/>
          <w:bCs/>
          <w:color w:val="000000" w:themeColor="text1"/>
          <w:sz w:val="28"/>
          <w:szCs w:val="28"/>
          <w14:textFill>
            <w14:solidFill>
              <w14:schemeClr w14:val="tx1"/>
            </w14:solidFill>
          </w14:textFill>
        </w:rPr>
        <w:t>生态流量保障措施</w:t>
      </w:r>
    </w:p>
    <w:p w14:paraId="20E334FC">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坚持问题导向，分类指导，针对性提出“优调度、增设施，限取水、强监管”等措施，切实保障河湖生态流量。</w:t>
      </w:r>
    </w:p>
    <w:p w14:paraId="6077B8FD">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优调度，增设施。强化</w:t>
      </w:r>
      <w:r>
        <w:rPr>
          <w:rFonts w:hint="eastAsia" w:cs="Times New Roman"/>
          <w:color w:val="000000" w:themeColor="text1"/>
          <w:sz w:val="28"/>
          <w:szCs w:val="28"/>
          <w14:textFill>
            <w14:solidFill>
              <w14:schemeClr w14:val="tx1"/>
            </w14:solidFill>
          </w14:textFill>
        </w:rPr>
        <w:t>九原区境内</w:t>
      </w:r>
      <w:r>
        <w:rPr>
          <w:rFonts w:cs="Times New Roman"/>
          <w:color w:val="000000" w:themeColor="text1"/>
          <w:sz w:val="28"/>
          <w:szCs w:val="28"/>
          <w14:textFill>
            <w14:solidFill>
              <w14:schemeClr w14:val="tx1"/>
            </w14:solidFill>
          </w14:textFill>
        </w:rPr>
        <w:t>主要河流水资源统一调度管理，把保障生态流量作为硬约束，科学制定流域水量调度方案和调度计划。</w:t>
      </w:r>
    </w:p>
    <w:p w14:paraId="6E5866F0">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限取水、强监管。加强取水口监查与管控，严格水资源消耗总量和强度双控，优化产业布局和农业种植结构，强化水资源刚性约束；按照取水许可及年度取水计划，加强取用水管控，严禁超量取水、无序取水等不合理取用水行为；完善主要支流生态流量指标体系，推进生态流量评估，建立生态流量监管试点，探索生态流量联合监管机制。</w:t>
      </w:r>
      <w:r>
        <w:rPr>
          <w:rFonts w:hint="eastAsia" w:cs="Times New Roman"/>
          <w:color w:val="000000" w:themeColor="text1"/>
          <w:sz w:val="28"/>
          <w:szCs w:val="28"/>
          <w:lang w:eastAsia="zh-CN"/>
          <w14:textFill>
            <w14:solidFill>
              <w14:schemeClr w14:val="tx1"/>
            </w14:solidFill>
          </w14:textFill>
        </w:rPr>
        <w:t>建</w:t>
      </w:r>
      <w:r>
        <w:rPr>
          <w:rFonts w:cs="Times New Roman"/>
          <w:color w:val="000000" w:themeColor="text1"/>
          <w:sz w:val="28"/>
          <w:szCs w:val="28"/>
          <w14:textFill>
            <w14:solidFill>
              <w14:schemeClr w14:val="tx1"/>
            </w14:solidFill>
          </w14:textFill>
        </w:rPr>
        <w:t>立健全生态流量监测预警机制，针对不同预警等级制定预案，采用信息化等手段强化监督管理。建立健全生态流量保障责任体系，强化监督考核，确保生态流量保障落到实处。</w:t>
      </w:r>
    </w:p>
    <w:p w14:paraId="3DF2C55B">
      <w:pPr>
        <w:pStyle w:val="4"/>
        <w:widowControl/>
        <w:adjustRightInd w:val="0"/>
        <w:spacing w:before="0" w:after="0" w:line="360" w:lineRule="auto"/>
        <w:jc w:val="left"/>
        <w:rPr>
          <w:rFonts w:eastAsia="黑体" w:cs="Times New Roman"/>
          <w:b w:val="0"/>
          <w:bCs w:val="0"/>
          <w:kern w:val="0"/>
          <w:sz w:val="28"/>
          <w:szCs w:val="28"/>
        </w:rPr>
      </w:pPr>
      <w:bookmarkStart w:id="166" w:name="_Toc198652089"/>
      <w:r>
        <w:rPr>
          <w:rFonts w:hint="eastAsia" w:eastAsia="黑体" w:cs="Times New Roman"/>
          <w:b w:val="0"/>
          <w:bCs w:val="0"/>
          <w:kern w:val="0"/>
          <w:sz w:val="28"/>
          <w:szCs w:val="28"/>
        </w:rPr>
        <w:t>6.4.2</w:t>
      </w:r>
      <w:r>
        <w:rPr>
          <w:rFonts w:eastAsia="黑体" w:cs="Times New Roman"/>
          <w:b w:val="0"/>
          <w:bCs w:val="0"/>
          <w:kern w:val="0"/>
          <w:sz w:val="28"/>
          <w:szCs w:val="28"/>
        </w:rPr>
        <w:t>幸福河湖建设</w:t>
      </w:r>
      <w:bookmarkEnd w:id="166"/>
    </w:p>
    <w:p w14:paraId="40A01F04">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建设幸福河湖是巩固河湖整治成果、系统治理河湖的重要举措，是满足人民群众对高质量发展、高品质生活需求的内在要求。在稳固水网基础设施的基础上，统筹水资源、水环境、水生态，坚持以水定绿，通过建设生态绿道、水文化景观体系提升等措施，结合乡村振兴战略，促进一二三产业融合发展，着力打造安全河湖、健康河湖、美丽河湖、幸福河湖。综合考虑</w:t>
      </w:r>
      <w:r>
        <w:rPr>
          <w:rFonts w:hint="eastAsia" w:cs="Times New Roman"/>
          <w:color w:val="000000" w:themeColor="text1"/>
          <w:sz w:val="28"/>
          <w:szCs w:val="28"/>
          <w14:textFill>
            <w14:solidFill>
              <w14:schemeClr w14:val="tx1"/>
            </w14:solidFill>
          </w14:textFill>
        </w:rPr>
        <w:t>九原区</w:t>
      </w:r>
      <w:r>
        <w:rPr>
          <w:rFonts w:cs="Times New Roman"/>
          <w:color w:val="000000" w:themeColor="text1"/>
          <w:sz w:val="28"/>
          <w:szCs w:val="28"/>
          <w14:textFill>
            <w14:solidFill>
              <w14:schemeClr w14:val="tx1"/>
            </w14:solidFill>
          </w14:textFill>
        </w:rPr>
        <w:t>河湖自然条件、区域发展情况等，加强河湖岸线空间的保护与利用，推动构建河畅、水清、岸绿、景美的幸福河湖，力争打造一批具有</w:t>
      </w:r>
      <w:r>
        <w:rPr>
          <w:rFonts w:hint="eastAsia" w:cs="Times New Roman"/>
          <w:color w:val="000000" w:themeColor="text1"/>
          <w:sz w:val="28"/>
          <w:szCs w:val="28"/>
          <w14:textFill>
            <w14:solidFill>
              <w14:schemeClr w14:val="tx1"/>
            </w14:solidFill>
          </w14:textFill>
        </w:rPr>
        <w:t>九原区</w:t>
      </w:r>
      <w:r>
        <w:rPr>
          <w:rFonts w:cs="Times New Roman"/>
          <w:color w:val="000000" w:themeColor="text1"/>
          <w:sz w:val="28"/>
          <w:szCs w:val="28"/>
          <w14:textFill>
            <w14:solidFill>
              <w14:schemeClr w14:val="tx1"/>
            </w14:solidFill>
          </w14:textFill>
        </w:rPr>
        <w:t>特色的幸福河湖“标杆”和示范样板。</w:t>
      </w:r>
    </w:p>
    <w:p w14:paraId="5E681C40">
      <w:pPr>
        <w:pStyle w:val="4"/>
        <w:widowControl/>
        <w:adjustRightInd w:val="0"/>
        <w:spacing w:before="0" w:after="0" w:line="360" w:lineRule="auto"/>
        <w:jc w:val="left"/>
      </w:pPr>
      <w:bookmarkStart w:id="167" w:name="_Toc198652090"/>
      <w:r>
        <w:rPr>
          <w:rFonts w:hint="eastAsia" w:eastAsia="黑体" w:cs="Times New Roman"/>
          <w:b w:val="0"/>
          <w:bCs w:val="0"/>
          <w:kern w:val="0"/>
          <w:sz w:val="28"/>
          <w:szCs w:val="28"/>
        </w:rPr>
        <w:t>6.4.3</w:t>
      </w:r>
      <w:r>
        <w:rPr>
          <w:rFonts w:eastAsia="黑体" w:cs="Times New Roman"/>
          <w:b w:val="0"/>
          <w:bCs w:val="0"/>
          <w:kern w:val="0"/>
          <w:sz w:val="28"/>
          <w:szCs w:val="28"/>
        </w:rPr>
        <w:t>城市微水系构建指引</w:t>
      </w:r>
      <w:bookmarkEnd w:id="167"/>
    </w:p>
    <w:p w14:paraId="3498CA4D">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以</w:t>
      </w:r>
      <w:r>
        <w:rPr>
          <w:rFonts w:hint="eastAsia" w:cs="Times New Roman"/>
          <w:color w:val="000000" w:themeColor="text1"/>
          <w:sz w:val="28"/>
          <w:szCs w:val="28"/>
          <w14:textFill>
            <w14:solidFill>
              <w14:schemeClr w14:val="tx1"/>
            </w14:solidFill>
          </w14:textFill>
        </w:rPr>
        <w:t>九原区</w:t>
      </w:r>
      <w:r>
        <w:rPr>
          <w:rFonts w:cs="Times New Roman"/>
          <w:color w:val="000000" w:themeColor="text1"/>
          <w:sz w:val="28"/>
          <w:szCs w:val="28"/>
          <w14:textFill>
            <w14:solidFill>
              <w14:schemeClr w14:val="tx1"/>
            </w14:solidFill>
          </w14:textFill>
        </w:rPr>
        <w:t>的城市水系为对象，在防洪排涝保安的前提下，以恢复河流的基本生态功能和生态化改造为抓手，统筹再生水、雨水、河道天然径流，因地制宜对城市水系进行综合治理，让城市的水动起来、美起来，形成“几水绕城”的新局面，建成集防洪排涝、生态保护、景观人文等多功能于一体的城市微水系系统。</w:t>
      </w:r>
    </w:p>
    <w:p w14:paraId="27618D4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w:t>
      </w:r>
      <w:r>
        <w:rPr>
          <w:rFonts w:cs="Times New Roman"/>
          <w:color w:val="000000" w:themeColor="text1"/>
          <w:sz w:val="28"/>
          <w:szCs w:val="28"/>
          <w14:textFill>
            <w14:solidFill>
              <w14:schemeClr w14:val="tx1"/>
            </w14:solidFill>
          </w14:textFill>
        </w:rPr>
        <w:t>城市微水系构建</w:t>
      </w:r>
      <w:r>
        <w:rPr>
          <w:rFonts w:hint="eastAsia" w:cs="Times New Roman"/>
          <w:color w:val="000000" w:themeColor="text1"/>
          <w:sz w:val="28"/>
          <w:szCs w:val="28"/>
          <w14:textFill>
            <w14:solidFill>
              <w14:schemeClr w14:val="tx1"/>
            </w14:solidFill>
          </w14:textFill>
        </w:rPr>
        <w:t>配合包头市主要任务，</w:t>
      </w:r>
      <w:r>
        <w:rPr>
          <w:rFonts w:cs="Times New Roman"/>
          <w:color w:val="000000" w:themeColor="text1"/>
          <w:sz w:val="28"/>
          <w:szCs w:val="28"/>
          <w14:textFill>
            <w14:solidFill>
              <w14:schemeClr w14:val="tx1"/>
            </w14:solidFill>
          </w14:textFill>
        </w:rPr>
        <w:t>主要包括三个方面：一是构建再生水和雨水利用系统，推进再生水、雨水利用管网与城市自然水系的连通循环，提高城市生态景观用水保障水平；二是建设城市污水处理厂尾水净化湿地，改善河流水质营造湿地景观；三是城区河湖生态画廊建设，在生态绿道建设的基础上，结合城市空间布局及人文特点，重点开展水景观提升工程，提升城市“颜值”及生活品质，展现“黄河草原明珠”国土魅力。</w:t>
      </w:r>
    </w:p>
    <w:p w14:paraId="38CD5746">
      <w:pPr>
        <w:widowControl/>
        <w:adjustRightInd w:val="0"/>
        <w:spacing w:line="240" w:lineRule="auto"/>
        <w:jc w:val="center"/>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t>专栏6-</w:t>
      </w:r>
      <w:r>
        <w:rPr>
          <w:rFonts w:hint="eastAsia" w:cs="Times New Roman"/>
          <w:b/>
          <w:bCs/>
          <w:color w:val="000000" w:themeColor="text1"/>
          <w:sz w:val="28"/>
          <w:szCs w:val="28"/>
          <w14:textFill>
            <w14:solidFill>
              <w14:schemeClr w14:val="tx1"/>
            </w14:solidFill>
          </w14:textFill>
        </w:rPr>
        <w:t>2  城市微水系工程建设</w:t>
      </w:r>
    </w:p>
    <w:p w14:paraId="4961537A">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color w:val="000000" w:themeColor="text1"/>
          <w:szCs w:val="24"/>
          <w14:textFill>
            <w14:solidFill>
              <w14:schemeClr w14:val="tx1"/>
            </w14:solidFill>
          </w14:textFill>
        </w:rPr>
      </w:pPr>
      <w:r>
        <w:rPr>
          <w:rFonts w:hint="eastAsia" w:cs="Times New Roman"/>
          <w:b/>
          <w:bCs/>
          <w:color w:val="000000" w:themeColor="text1"/>
          <w:szCs w:val="24"/>
          <w14:textFill>
            <w14:solidFill>
              <w14:schemeClr w14:val="tx1"/>
            </w14:solidFill>
          </w14:textFill>
        </w:rPr>
        <w:t>01 主城区微水系综合提升工程</w:t>
      </w:r>
      <w:r>
        <w:rPr>
          <w:rFonts w:cs="Times New Roman"/>
          <w:b/>
          <w:bCs/>
          <w:color w:val="000000" w:themeColor="text1"/>
          <w:szCs w:val="24"/>
          <w14:textFill>
            <w14:solidFill>
              <w14:schemeClr w14:val="tx1"/>
            </w14:solidFill>
          </w14:textFill>
        </w:rPr>
        <w:t>。</w:t>
      </w:r>
    </w:p>
    <w:p w14:paraId="79BAB494">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城市生态画廊建设</w:t>
      </w:r>
      <w:r>
        <w:rPr>
          <w:rFonts w:hint="eastAsia" w:cs="Times New Roman"/>
          <w:b/>
          <w:bCs/>
          <w:color w:val="000000" w:themeColor="text1"/>
          <w:szCs w:val="24"/>
          <w14:textFill>
            <w14:solidFill>
              <w14:schemeClr w14:val="tx1"/>
            </w14:solidFill>
          </w14:textFill>
        </w:rPr>
        <w:t>（九原区境内）</w:t>
      </w:r>
      <w:r>
        <w:rPr>
          <w:rFonts w:cs="Times New Roman"/>
          <w:b/>
          <w:bCs/>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包括“一横四纵”城区水系结构昆都仑河主城区河段、四道沙河、二道沙河</w:t>
      </w:r>
      <w:r>
        <w:rPr>
          <w:rFonts w:hint="eastAsia" w:cs="Times New Roman"/>
          <w:color w:val="000000" w:themeColor="text1"/>
          <w:szCs w:val="24"/>
          <w14:textFill>
            <w14:solidFill>
              <w14:schemeClr w14:val="tx1"/>
            </w14:solidFill>
          </w14:textFill>
        </w:rPr>
        <w:t>九原</w:t>
      </w:r>
      <w:r>
        <w:rPr>
          <w:rFonts w:cs="Times New Roman"/>
          <w:color w:val="000000" w:themeColor="text1"/>
          <w:szCs w:val="24"/>
          <w14:textFill>
            <w14:solidFill>
              <w14:schemeClr w14:val="tx1"/>
            </w14:solidFill>
          </w14:textFill>
        </w:rPr>
        <w:t>区段。</w:t>
      </w:r>
    </w:p>
    <w:p w14:paraId="67369C6C">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包头市主城区再生水利用系统建设</w:t>
      </w:r>
      <w:r>
        <w:rPr>
          <w:rFonts w:hint="eastAsia" w:cs="Times New Roman"/>
          <w:b/>
          <w:bCs/>
          <w:color w:val="000000" w:themeColor="text1"/>
          <w:szCs w:val="24"/>
          <w14:textFill>
            <w14:solidFill>
              <w14:schemeClr w14:val="tx1"/>
            </w14:solidFill>
          </w14:textFill>
        </w:rPr>
        <w:t>（九原区境内）</w:t>
      </w:r>
      <w:r>
        <w:rPr>
          <w:rFonts w:cs="Times New Roman"/>
          <w:b/>
          <w:bCs/>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对主城区污水处理厂建设管网，把水输送到昆都仑河、四道沙河、二道沙河进行城区生态景观补水。</w:t>
      </w:r>
    </w:p>
    <w:p w14:paraId="3899DF03">
      <w:pPr>
        <w:widowControl/>
        <w:pBdr>
          <w:top w:val="single" w:color="auto" w:sz="4" w:space="1"/>
          <w:left w:val="single" w:color="auto" w:sz="4" w:space="4"/>
          <w:bottom w:val="single" w:color="auto" w:sz="4" w:space="1"/>
          <w:right w:val="single" w:color="auto" w:sz="4" w:space="4"/>
        </w:pBdr>
        <w:adjustRightInd w:val="0"/>
        <w:ind w:firstLine="482" w:firstLineChars="200"/>
        <w:rPr>
          <w:rFonts w:cs="Times New Roman"/>
          <w:b/>
          <w:bCs/>
          <w:color w:val="000000" w:themeColor="text1"/>
          <w:szCs w:val="24"/>
          <w14:textFill>
            <w14:solidFill>
              <w14:schemeClr w14:val="tx1"/>
            </w14:solidFill>
          </w14:textFill>
        </w:rPr>
      </w:pPr>
      <w:r>
        <w:rPr>
          <w:rFonts w:cs="Times New Roman"/>
          <w:b/>
          <w:bCs/>
          <w:color w:val="000000" w:themeColor="text1"/>
          <w:szCs w:val="24"/>
          <w14:textFill>
            <w14:solidFill>
              <w14:schemeClr w14:val="tx1"/>
            </w14:solidFill>
          </w14:textFill>
        </w:rPr>
        <w:t>包头主城区雨水再生水利用系统建设</w:t>
      </w:r>
      <w:r>
        <w:rPr>
          <w:rFonts w:hint="eastAsia" w:cs="Times New Roman"/>
          <w:b/>
          <w:bCs/>
          <w:color w:val="000000" w:themeColor="text1"/>
          <w:szCs w:val="24"/>
          <w14:textFill>
            <w14:solidFill>
              <w14:schemeClr w14:val="tx1"/>
            </w14:solidFill>
          </w14:textFill>
        </w:rPr>
        <w:t>（九原区境内）</w:t>
      </w:r>
      <w:r>
        <w:rPr>
          <w:rFonts w:cs="Times New Roman"/>
          <w:b/>
          <w:bCs/>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全面推进海绵城市建设理念，对现有公园和绿地进行适度改造，增加蓄滞雨洪水和再生水生态补水调蓄场所。以上项目规划2035年后建成。</w:t>
      </w:r>
    </w:p>
    <w:p w14:paraId="5487EFBA">
      <w:pPr>
        <w:pStyle w:val="3"/>
        <w:widowControl/>
        <w:adjustRightInd w:val="0"/>
        <w:spacing w:before="156" w:beforeLines="50" w:after="0" w:line="360" w:lineRule="auto"/>
        <w:jc w:val="left"/>
        <w:rPr>
          <w:rFonts w:ascii="Times New Roman" w:hAnsi="Times New Roman" w:eastAsia="黑体" w:cs="Times New Roman"/>
          <w:b w:val="0"/>
          <w:bCs w:val="0"/>
          <w:kern w:val="0"/>
          <w:sz w:val="28"/>
          <w:szCs w:val="28"/>
        </w:rPr>
      </w:pPr>
      <w:bookmarkStart w:id="168" w:name="_Toc198652091"/>
      <w:r>
        <w:rPr>
          <w:rFonts w:hint="eastAsia" w:ascii="Times New Roman" w:hAnsi="Times New Roman" w:eastAsia="黑体" w:cs="Times New Roman"/>
          <w:b w:val="0"/>
          <w:bCs w:val="0"/>
          <w:kern w:val="0"/>
          <w:sz w:val="28"/>
          <w:szCs w:val="28"/>
        </w:rPr>
        <w:t>6.5水环境治理与保护规划</w:t>
      </w:r>
      <w:bookmarkEnd w:id="168"/>
    </w:p>
    <w:p w14:paraId="09984009">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九原区的地表水为黄河水，其余河流为季节性河流。水污染源为城镇附近的污水主要以生活和加工业废水为主，主要污染物为硫化物及悬浮物。排污量约为226万立</w:t>
      </w:r>
      <w:r>
        <w:rPr>
          <w:rFonts w:hint="eastAsia" w:cs="Times New Roman"/>
          <w:color w:val="000000" w:themeColor="text1"/>
          <w:sz w:val="28"/>
          <w:szCs w:val="28"/>
          <w:lang w:eastAsia="zh-CN"/>
          <w14:textFill>
            <w14:solidFill>
              <w14:schemeClr w14:val="tx1"/>
            </w14:solidFill>
          </w14:textFill>
        </w:rPr>
        <w:t>方</w:t>
      </w:r>
      <w:r>
        <w:rPr>
          <w:rFonts w:hint="eastAsia" w:cs="Times New Roman"/>
          <w:color w:val="000000" w:themeColor="text1"/>
          <w:sz w:val="28"/>
          <w:szCs w:val="28"/>
          <w14:textFill>
            <w14:solidFill>
              <w14:schemeClr w14:val="tx1"/>
            </w14:solidFill>
          </w14:textFill>
        </w:rPr>
        <w:t>米/年。</w:t>
      </w:r>
    </w:p>
    <w:p w14:paraId="6CD7C71F">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全区80%的供水水源地的水质为Ⅲ类水，适于各种用途；局部地区个别组份超标，为Ⅳ-V类水，需经处理后使用。</w:t>
      </w:r>
    </w:p>
    <w:p w14:paraId="3B528ECF">
      <w:pPr>
        <w:pStyle w:val="4"/>
        <w:widowControl/>
        <w:adjustRightInd w:val="0"/>
        <w:spacing w:before="0" w:after="0" w:line="360" w:lineRule="auto"/>
        <w:jc w:val="left"/>
        <w:rPr>
          <w:rFonts w:eastAsia="黑体" w:cs="Times New Roman"/>
          <w:b w:val="0"/>
          <w:bCs w:val="0"/>
          <w:kern w:val="0"/>
          <w:sz w:val="28"/>
          <w:szCs w:val="28"/>
        </w:rPr>
      </w:pPr>
      <w:bookmarkStart w:id="169" w:name="_Toc198652092"/>
      <w:r>
        <w:rPr>
          <w:rFonts w:hint="eastAsia" w:eastAsia="黑体" w:cs="Times New Roman"/>
          <w:b w:val="0"/>
          <w:bCs w:val="0"/>
          <w:kern w:val="0"/>
          <w:sz w:val="28"/>
          <w:szCs w:val="28"/>
        </w:rPr>
        <w:t>6.5.1水环境治理与水资源保护规划目标</w:t>
      </w:r>
      <w:bookmarkEnd w:id="169"/>
    </w:p>
    <w:p w14:paraId="40CA4B05">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根据《国务院关于环境保护若干问题的决定》和国家“十四五”环境保护工作重点及要求，结合九原区水环境现状，确定本次目标。</w:t>
      </w:r>
    </w:p>
    <w:p w14:paraId="2BACE16C">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1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⑴</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地下水环境保护治理目标</w:t>
      </w:r>
    </w:p>
    <w:p w14:paraId="041F3608">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地下水资源是全区居民生活饮用水的主要水源，是经济社会可持续发展的重要水源。根据《内蒙古自治区地下水超采区评价》（2014年）成果及《内蒙古自治区人民政府关于公布自治区地下水超采区及禁采区和限采范围的通知》（内政发[2015]3号），包头市昆区中型孔隙浅层地下水超采区涉及昆都仑区、青山区和九原区3个行政分区。其中，占九原区面积为行政区3%。九原区地下水保护目标是：全面完成水资源保护区内污染源治理，使地下水环境有明显的改善，水质保持《地下水环境质量标准》Ⅱ类标准，基本建立起城镇规划区地下水源保护的保障体系。</w:t>
      </w:r>
    </w:p>
    <w:p w14:paraId="3C687C97">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2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⑵</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地表水环境保护治理目标</w:t>
      </w:r>
    </w:p>
    <w:p w14:paraId="1D4193F5">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九原区处于大青山、乌拉山山前，黄河北岸。地下水主要存于第四系松散岩层中，地下水类型为孔隙潜水。主要受大气降水、灌溉水及山前洪水入渗补给，排泄为蒸发、地下径流及人工开采。地下径流主要由山前向南排入黄河。包头市为重工业城市，地下水部分地段已被工业废水污染、水质恶化，只有北郊未受污染，且径流通畅，水质尚好。山前冲洪积倾斜平原区地下水位埋深大于8.0m，冲湖积平原区地下水位埋深2.0～4.80m，黄河左岸边冲积阶地水位埋深1.90m左右。地下水化学类型主要为HCO</w:t>
      </w:r>
      <w:r>
        <w:rPr>
          <w:rFonts w:cs="Times New Roman"/>
          <w:color w:val="000000" w:themeColor="text1"/>
          <w:sz w:val="28"/>
          <w:szCs w:val="28"/>
          <w:vertAlign w:val="subscript"/>
          <w14:textFill>
            <w14:solidFill>
              <w14:schemeClr w14:val="tx1"/>
            </w14:solidFill>
          </w14:textFill>
        </w:rPr>
        <w:t>3</w:t>
      </w:r>
      <w:r>
        <w:rPr>
          <w:rFonts w:cs="Times New Roman"/>
          <w:color w:val="000000" w:themeColor="text1"/>
          <w:sz w:val="28"/>
          <w:szCs w:val="28"/>
          <w14:textFill>
            <w14:solidFill>
              <w14:schemeClr w14:val="tx1"/>
            </w14:solidFill>
          </w14:textFill>
        </w:rPr>
        <w:t>·SO</w:t>
      </w:r>
      <w:r>
        <w:rPr>
          <w:rFonts w:cs="Times New Roman"/>
          <w:color w:val="000000" w:themeColor="text1"/>
          <w:sz w:val="28"/>
          <w:szCs w:val="28"/>
          <w:vertAlign w:val="subscript"/>
          <w14:textFill>
            <w14:solidFill>
              <w14:schemeClr w14:val="tx1"/>
            </w14:solidFill>
          </w14:textFill>
        </w:rPr>
        <w:t>4</w:t>
      </w:r>
      <w:r>
        <w:rPr>
          <w:rFonts w:cs="Times New Roman"/>
          <w:color w:val="000000" w:themeColor="text1"/>
          <w:sz w:val="28"/>
          <w:szCs w:val="28"/>
          <w14:textFill>
            <w14:solidFill>
              <w14:schemeClr w14:val="tx1"/>
            </w14:solidFill>
          </w14:textFill>
        </w:rPr>
        <w:t>-Na型，SO</w:t>
      </w:r>
      <w:r>
        <w:rPr>
          <w:rFonts w:cs="Times New Roman"/>
          <w:color w:val="000000" w:themeColor="text1"/>
          <w:sz w:val="28"/>
          <w:szCs w:val="28"/>
          <w:vertAlign w:val="subscript"/>
          <w14:textFill>
            <w14:solidFill>
              <w14:schemeClr w14:val="tx1"/>
            </w14:solidFill>
          </w14:textFill>
        </w:rPr>
        <w:t>4</w:t>
      </w:r>
      <w:r>
        <w:rPr>
          <w:rFonts w:cs="Times New Roman"/>
          <w:color w:val="000000" w:themeColor="text1"/>
          <w:sz w:val="28"/>
          <w:szCs w:val="28"/>
          <w14:textFill>
            <w14:solidFill>
              <w14:schemeClr w14:val="tx1"/>
            </w14:solidFill>
          </w14:textFill>
        </w:rPr>
        <w:t>·HCO</w:t>
      </w:r>
      <w:r>
        <w:rPr>
          <w:rFonts w:cs="Times New Roman"/>
          <w:color w:val="000000" w:themeColor="text1"/>
          <w:sz w:val="28"/>
          <w:szCs w:val="28"/>
          <w:vertAlign w:val="subscript"/>
          <w14:textFill>
            <w14:solidFill>
              <w14:schemeClr w14:val="tx1"/>
            </w14:solidFill>
          </w14:textFill>
        </w:rPr>
        <w:t>3</w:t>
      </w:r>
      <w:r>
        <w:rPr>
          <w:rFonts w:cs="Times New Roman"/>
          <w:color w:val="000000" w:themeColor="text1"/>
          <w:sz w:val="28"/>
          <w:szCs w:val="28"/>
          <w14:textFill>
            <w14:solidFill>
              <w14:schemeClr w14:val="tx1"/>
            </w14:solidFill>
          </w14:textFill>
        </w:rPr>
        <w:t>-Mg·Ca型及SO</w:t>
      </w:r>
      <w:r>
        <w:rPr>
          <w:rFonts w:cs="Times New Roman"/>
          <w:color w:val="000000" w:themeColor="text1"/>
          <w:sz w:val="28"/>
          <w:szCs w:val="28"/>
          <w:vertAlign w:val="subscript"/>
          <w14:textFill>
            <w14:solidFill>
              <w14:schemeClr w14:val="tx1"/>
            </w14:solidFill>
          </w14:textFill>
        </w:rPr>
        <w:t>4</w:t>
      </w:r>
      <w:r>
        <w:rPr>
          <w:rFonts w:cs="Times New Roman"/>
          <w:color w:val="000000" w:themeColor="text1"/>
          <w:sz w:val="28"/>
          <w:szCs w:val="28"/>
          <w14:textFill>
            <w14:solidFill>
              <w14:schemeClr w14:val="tx1"/>
            </w14:solidFill>
          </w14:textFill>
        </w:rPr>
        <w:t>·Cl-Na·Ca型，矿化度在0.35～1.22g/L，下游两座建筑物矿化度偏高。PH值为7.60～8.30属弱碱性水。</w:t>
      </w:r>
    </w:p>
    <w:p w14:paraId="6455E4E0">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t>针对目前城镇及主要河道环境污染现状，按照建设生态型城镇的</w:t>
      </w:r>
      <w:r>
        <w:rPr>
          <w:rFonts w:hint="eastAsia" w:cs="Times New Roman"/>
          <w:color w:val="000000" w:themeColor="text1"/>
          <w:sz w:val="28"/>
          <w:szCs w:val="28"/>
          <w14:textFill>
            <w14:solidFill>
              <w14:schemeClr w14:val="tx1"/>
            </w14:solidFill>
          </w14:textFill>
        </w:rPr>
        <w:t>要求和节水型社会的总体目标，按照水质执行标准，确定治理目标。</w:t>
      </w:r>
    </w:p>
    <w:p w14:paraId="4E3A4D4D">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各河治理目标见表6-5。</w:t>
      </w:r>
    </w:p>
    <w:p w14:paraId="5A6DE9D3">
      <w:pPr>
        <w:adjustRightInd w:val="0"/>
        <w:spacing w:line="240" w:lineRule="auto"/>
        <w:jc w:val="center"/>
        <w:rPr>
          <w:rFonts w:cs="Times New Roman"/>
          <w:b/>
          <w:bCs/>
        </w:rPr>
      </w:pPr>
      <w:r>
        <w:rPr>
          <w:rFonts w:cs="Times New Roman"/>
          <w:b/>
          <w:bCs/>
        </w:rPr>
        <w:t>表6-</w:t>
      </w:r>
      <w:r>
        <w:rPr>
          <w:rFonts w:hint="eastAsia" w:cs="Times New Roman"/>
          <w:b/>
          <w:bCs/>
        </w:rPr>
        <w:t>5  九原区各河治理目标</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8"/>
        <w:gridCol w:w="873"/>
        <w:gridCol w:w="1462"/>
        <w:gridCol w:w="728"/>
        <w:gridCol w:w="2765"/>
        <w:gridCol w:w="806"/>
      </w:tblGrid>
      <w:tr w14:paraId="08301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pct"/>
            <w:vMerge w:val="restart"/>
            <w:vAlign w:val="center"/>
          </w:tcPr>
          <w:p w14:paraId="45B03206">
            <w:pPr>
              <w:adjustRightInd w:val="0"/>
              <w:spacing w:line="240" w:lineRule="auto"/>
              <w:jc w:val="center"/>
              <w:rPr>
                <w:rFonts w:cs="Times New Roman"/>
                <w:b/>
                <w:bCs/>
              </w:rPr>
            </w:pPr>
            <w:r>
              <w:rPr>
                <w:rFonts w:hint="eastAsia" w:cs="Times New Roman"/>
                <w:b/>
                <w:bCs/>
              </w:rPr>
              <w:t>河流名称</w:t>
            </w:r>
          </w:p>
        </w:tc>
        <w:tc>
          <w:tcPr>
            <w:tcW w:w="512" w:type="pct"/>
            <w:vMerge w:val="restart"/>
            <w:vAlign w:val="center"/>
          </w:tcPr>
          <w:p w14:paraId="794FF6EE">
            <w:pPr>
              <w:adjustRightInd w:val="0"/>
              <w:spacing w:line="240" w:lineRule="auto"/>
              <w:jc w:val="center"/>
              <w:rPr>
                <w:rFonts w:cs="Times New Roman"/>
                <w:b/>
                <w:bCs/>
              </w:rPr>
            </w:pPr>
            <w:r>
              <w:rPr>
                <w:rFonts w:hint="eastAsia" w:cs="Times New Roman"/>
                <w:b/>
                <w:bCs/>
              </w:rPr>
              <w:t>执行标准</w:t>
            </w:r>
          </w:p>
        </w:tc>
        <w:tc>
          <w:tcPr>
            <w:tcW w:w="1285" w:type="pct"/>
            <w:gridSpan w:val="2"/>
            <w:vAlign w:val="center"/>
          </w:tcPr>
          <w:p w14:paraId="137BD903">
            <w:pPr>
              <w:adjustRightInd w:val="0"/>
              <w:spacing w:line="240" w:lineRule="auto"/>
              <w:jc w:val="center"/>
              <w:rPr>
                <w:rFonts w:cs="Times New Roman"/>
                <w:b/>
                <w:bCs/>
              </w:rPr>
            </w:pPr>
            <w:r>
              <w:rPr>
                <w:rFonts w:hint="eastAsia" w:cs="Times New Roman"/>
                <w:b/>
                <w:bCs/>
              </w:rPr>
              <w:t>现状年</w:t>
            </w:r>
          </w:p>
        </w:tc>
        <w:tc>
          <w:tcPr>
            <w:tcW w:w="2095" w:type="pct"/>
            <w:gridSpan w:val="2"/>
            <w:vAlign w:val="center"/>
          </w:tcPr>
          <w:p w14:paraId="34633B73">
            <w:pPr>
              <w:adjustRightInd w:val="0"/>
              <w:spacing w:line="240" w:lineRule="auto"/>
              <w:jc w:val="center"/>
              <w:rPr>
                <w:rFonts w:cs="Times New Roman"/>
                <w:b/>
                <w:bCs/>
              </w:rPr>
            </w:pPr>
            <w:r>
              <w:rPr>
                <w:rFonts w:hint="eastAsia" w:cs="Times New Roman"/>
                <w:b/>
                <w:bCs/>
              </w:rPr>
              <w:t>规划年</w:t>
            </w:r>
          </w:p>
        </w:tc>
      </w:tr>
      <w:tr w14:paraId="70EB9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pct"/>
            <w:vMerge w:val="continue"/>
            <w:vAlign w:val="center"/>
          </w:tcPr>
          <w:p w14:paraId="37E097AC">
            <w:pPr>
              <w:adjustRightInd w:val="0"/>
              <w:spacing w:line="240" w:lineRule="auto"/>
              <w:jc w:val="center"/>
              <w:rPr>
                <w:rFonts w:cs="Times New Roman"/>
                <w:b/>
                <w:bCs/>
              </w:rPr>
            </w:pPr>
          </w:p>
        </w:tc>
        <w:tc>
          <w:tcPr>
            <w:tcW w:w="512" w:type="pct"/>
            <w:vMerge w:val="continue"/>
            <w:vAlign w:val="center"/>
          </w:tcPr>
          <w:p w14:paraId="04FDCFF6">
            <w:pPr>
              <w:adjustRightInd w:val="0"/>
              <w:spacing w:line="240" w:lineRule="auto"/>
              <w:jc w:val="center"/>
              <w:rPr>
                <w:rFonts w:cs="Times New Roman"/>
                <w:b/>
                <w:bCs/>
              </w:rPr>
            </w:pPr>
          </w:p>
        </w:tc>
        <w:tc>
          <w:tcPr>
            <w:tcW w:w="858" w:type="pct"/>
            <w:vAlign w:val="center"/>
          </w:tcPr>
          <w:p w14:paraId="3E276705">
            <w:pPr>
              <w:adjustRightInd w:val="0"/>
              <w:spacing w:line="240" w:lineRule="auto"/>
              <w:jc w:val="center"/>
              <w:rPr>
                <w:rFonts w:cs="Times New Roman"/>
                <w:b/>
                <w:bCs/>
              </w:rPr>
            </w:pPr>
            <w:r>
              <w:rPr>
                <w:rFonts w:hint="eastAsia" w:cs="Times New Roman"/>
                <w:b/>
                <w:bCs/>
              </w:rPr>
              <w:t>功能</w:t>
            </w:r>
          </w:p>
        </w:tc>
        <w:tc>
          <w:tcPr>
            <w:tcW w:w="427" w:type="pct"/>
            <w:vAlign w:val="center"/>
          </w:tcPr>
          <w:p w14:paraId="08A7F3E0">
            <w:pPr>
              <w:adjustRightInd w:val="0"/>
              <w:spacing w:line="240" w:lineRule="auto"/>
              <w:jc w:val="center"/>
              <w:rPr>
                <w:rFonts w:cs="Times New Roman"/>
                <w:b/>
                <w:bCs/>
              </w:rPr>
            </w:pPr>
            <w:r>
              <w:rPr>
                <w:rFonts w:hint="eastAsia" w:cs="Times New Roman"/>
                <w:b/>
                <w:bCs/>
              </w:rPr>
              <w:t>水质</w:t>
            </w:r>
          </w:p>
        </w:tc>
        <w:tc>
          <w:tcPr>
            <w:tcW w:w="1622" w:type="pct"/>
            <w:vAlign w:val="center"/>
          </w:tcPr>
          <w:p w14:paraId="2E438FAC">
            <w:pPr>
              <w:adjustRightInd w:val="0"/>
              <w:spacing w:line="240" w:lineRule="auto"/>
              <w:jc w:val="center"/>
              <w:rPr>
                <w:rFonts w:cs="Times New Roman"/>
                <w:b/>
                <w:bCs/>
              </w:rPr>
            </w:pPr>
            <w:r>
              <w:rPr>
                <w:rFonts w:hint="eastAsia" w:cs="Times New Roman"/>
                <w:b/>
                <w:bCs/>
              </w:rPr>
              <w:t>功能</w:t>
            </w:r>
          </w:p>
        </w:tc>
        <w:tc>
          <w:tcPr>
            <w:tcW w:w="473" w:type="pct"/>
            <w:vAlign w:val="center"/>
          </w:tcPr>
          <w:p w14:paraId="526118D5">
            <w:pPr>
              <w:adjustRightInd w:val="0"/>
              <w:spacing w:line="240" w:lineRule="auto"/>
              <w:jc w:val="center"/>
              <w:rPr>
                <w:rFonts w:cs="Times New Roman"/>
                <w:b/>
                <w:bCs/>
              </w:rPr>
            </w:pPr>
            <w:r>
              <w:rPr>
                <w:rFonts w:hint="eastAsia" w:cs="Times New Roman"/>
                <w:b/>
                <w:bCs/>
              </w:rPr>
              <w:t>水质</w:t>
            </w:r>
          </w:p>
        </w:tc>
      </w:tr>
      <w:tr w14:paraId="48C25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pct"/>
            <w:vAlign w:val="center"/>
          </w:tcPr>
          <w:p w14:paraId="77F36ABD">
            <w:pPr>
              <w:adjustRightInd w:val="0"/>
              <w:spacing w:line="240" w:lineRule="auto"/>
              <w:jc w:val="center"/>
              <w:rPr>
                <w:rFonts w:cs="Times New Roman"/>
              </w:rPr>
            </w:pPr>
            <w:r>
              <w:rPr>
                <w:rFonts w:hint="eastAsia" w:cs="Times New Roman"/>
              </w:rPr>
              <w:t>黄河</w:t>
            </w:r>
          </w:p>
          <w:p w14:paraId="27A34133">
            <w:pPr>
              <w:adjustRightInd w:val="0"/>
              <w:spacing w:line="240" w:lineRule="auto"/>
              <w:jc w:val="center"/>
              <w:rPr>
                <w:rFonts w:cs="Times New Roman"/>
              </w:rPr>
            </w:pPr>
            <w:r>
              <w:rPr>
                <w:rFonts w:hint="eastAsia" w:cs="Times New Roman"/>
              </w:rPr>
              <w:t>（九原区段）</w:t>
            </w:r>
          </w:p>
        </w:tc>
        <w:tc>
          <w:tcPr>
            <w:tcW w:w="512" w:type="pct"/>
            <w:vAlign w:val="center"/>
          </w:tcPr>
          <w:p w14:paraId="1486B435">
            <w:pPr>
              <w:adjustRightInd w:val="0"/>
              <w:spacing w:line="240" w:lineRule="auto"/>
              <w:jc w:val="center"/>
              <w:rPr>
                <w:rFonts w:cs="Times New Roman"/>
              </w:rPr>
            </w:pPr>
            <w:r>
              <w:rPr>
                <w:rFonts w:hint="eastAsia" w:cs="Times New Roman"/>
              </w:rPr>
              <w:t>GB</w:t>
            </w:r>
          </w:p>
        </w:tc>
        <w:tc>
          <w:tcPr>
            <w:tcW w:w="858" w:type="pct"/>
            <w:vAlign w:val="center"/>
          </w:tcPr>
          <w:p w14:paraId="3D09197E">
            <w:pPr>
              <w:adjustRightInd w:val="0"/>
              <w:spacing w:line="240" w:lineRule="auto"/>
              <w:jc w:val="center"/>
              <w:rPr>
                <w:rFonts w:cs="Times New Roman"/>
              </w:rPr>
            </w:pPr>
            <w:r>
              <w:rPr>
                <w:rFonts w:hint="eastAsia" w:cs="Times New Roman"/>
              </w:rPr>
              <w:t>灌溉及供水</w:t>
            </w:r>
          </w:p>
        </w:tc>
        <w:tc>
          <w:tcPr>
            <w:tcW w:w="427" w:type="pct"/>
            <w:vAlign w:val="center"/>
          </w:tcPr>
          <w:p w14:paraId="2123DA0E">
            <w:pPr>
              <w:adjustRightInd w:val="0"/>
              <w:spacing w:line="240" w:lineRule="auto"/>
              <w:jc w:val="center"/>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ROMAN</w:instrText>
            </w:r>
            <w:r>
              <w:rPr>
                <w:rFonts w:cs="Times New Roman"/>
              </w:rPr>
              <w:instrText xml:space="preserve"> </w:instrText>
            </w:r>
            <w:r>
              <w:rPr>
                <w:rFonts w:cs="Times New Roman"/>
              </w:rPr>
              <w:fldChar w:fldCharType="separate"/>
            </w:r>
            <w:r>
              <w:rPr>
                <w:rFonts w:cs="Times New Roman"/>
              </w:rPr>
              <w:t>III</w:t>
            </w:r>
            <w:r>
              <w:rPr>
                <w:rFonts w:cs="Times New Roman"/>
              </w:rPr>
              <w:fldChar w:fldCharType="end"/>
            </w:r>
          </w:p>
        </w:tc>
        <w:tc>
          <w:tcPr>
            <w:tcW w:w="1622" w:type="pct"/>
            <w:vAlign w:val="center"/>
          </w:tcPr>
          <w:p w14:paraId="77711869">
            <w:pPr>
              <w:adjustRightInd w:val="0"/>
              <w:spacing w:line="240" w:lineRule="auto"/>
              <w:jc w:val="center"/>
              <w:rPr>
                <w:rFonts w:cs="Times New Roman"/>
              </w:rPr>
            </w:pPr>
            <w:r>
              <w:rPr>
                <w:rFonts w:hint="eastAsia" w:cs="Times New Roman"/>
              </w:rPr>
              <w:t>供水、灌溉生态及景观</w:t>
            </w:r>
          </w:p>
        </w:tc>
        <w:tc>
          <w:tcPr>
            <w:tcW w:w="473" w:type="pct"/>
            <w:vAlign w:val="center"/>
          </w:tcPr>
          <w:p w14:paraId="6695C77A">
            <w:pPr>
              <w:adjustRightInd w:val="0"/>
              <w:spacing w:line="240" w:lineRule="auto"/>
              <w:jc w:val="center"/>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ROMAN</w:instrText>
            </w:r>
            <w:r>
              <w:rPr>
                <w:rFonts w:cs="Times New Roman"/>
              </w:rPr>
              <w:instrText xml:space="preserve"> </w:instrText>
            </w:r>
            <w:r>
              <w:rPr>
                <w:rFonts w:cs="Times New Roman"/>
              </w:rPr>
              <w:fldChar w:fldCharType="separate"/>
            </w:r>
            <w:r>
              <w:rPr>
                <w:rFonts w:cs="Times New Roman"/>
              </w:rPr>
              <w:t>II</w:t>
            </w:r>
            <w:r>
              <w:rPr>
                <w:rFonts w:cs="Times New Roman"/>
              </w:rPr>
              <w:fldChar w:fldCharType="end"/>
            </w:r>
          </w:p>
        </w:tc>
      </w:tr>
      <w:tr w14:paraId="7FC93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8" w:type="pct"/>
            <w:vAlign w:val="center"/>
          </w:tcPr>
          <w:p w14:paraId="25737ED7">
            <w:pPr>
              <w:adjustRightInd w:val="0"/>
              <w:spacing w:line="240" w:lineRule="auto"/>
              <w:jc w:val="center"/>
              <w:rPr>
                <w:rFonts w:cs="Times New Roman"/>
              </w:rPr>
            </w:pPr>
            <w:r>
              <w:rPr>
                <w:rFonts w:hint="eastAsia" w:cs="Times New Roman"/>
              </w:rPr>
              <w:t>昆都仑河</w:t>
            </w:r>
          </w:p>
        </w:tc>
        <w:tc>
          <w:tcPr>
            <w:tcW w:w="512" w:type="pct"/>
            <w:vAlign w:val="center"/>
          </w:tcPr>
          <w:p w14:paraId="5AD5BE51">
            <w:pPr>
              <w:adjustRightInd w:val="0"/>
              <w:spacing w:line="240" w:lineRule="auto"/>
              <w:jc w:val="center"/>
              <w:rPr>
                <w:rFonts w:cs="Times New Roman"/>
              </w:rPr>
            </w:pPr>
            <w:r>
              <w:rPr>
                <w:rFonts w:hint="eastAsia" w:cs="Times New Roman"/>
              </w:rPr>
              <w:t>GB</w:t>
            </w:r>
          </w:p>
        </w:tc>
        <w:tc>
          <w:tcPr>
            <w:tcW w:w="858" w:type="pct"/>
            <w:vAlign w:val="center"/>
          </w:tcPr>
          <w:p w14:paraId="54F31CD0">
            <w:pPr>
              <w:adjustRightInd w:val="0"/>
              <w:spacing w:line="240" w:lineRule="auto"/>
              <w:jc w:val="center"/>
              <w:rPr>
                <w:rFonts w:cs="Times New Roman"/>
              </w:rPr>
            </w:pPr>
            <w:r>
              <w:rPr>
                <w:rFonts w:hint="eastAsia" w:cs="Times New Roman"/>
              </w:rPr>
              <w:t>供水</w:t>
            </w:r>
          </w:p>
        </w:tc>
        <w:tc>
          <w:tcPr>
            <w:tcW w:w="427" w:type="pct"/>
            <w:vAlign w:val="center"/>
          </w:tcPr>
          <w:p w14:paraId="0DA54D47">
            <w:pPr>
              <w:adjustRightInd w:val="0"/>
              <w:spacing w:line="240" w:lineRule="auto"/>
              <w:jc w:val="center"/>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ROMAN</w:instrText>
            </w:r>
            <w:r>
              <w:rPr>
                <w:rFonts w:cs="Times New Roman"/>
              </w:rPr>
              <w:instrText xml:space="preserve"> </w:instrText>
            </w:r>
            <w:r>
              <w:rPr>
                <w:rFonts w:cs="Times New Roman"/>
              </w:rPr>
              <w:fldChar w:fldCharType="separate"/>
            </w:r>
            <w:r>
              <w:rPr>
                <w:rFonts w:cs="Times New Roman"/>
              </w:rPr>
              <w:t>III</w:t>
            </w:r>
            <w:r>
              <w:rPr>
                <w:rFonts w:cs="Times New Roman"/>
              </w:rPr>
              <w:fldChar w:fldCharType="end"/>
            </w:r>
          </w:p>
        </w:tc>
        <w:tc>
          <w:tcPr>
            <w:tcW w:w="1622" w:type="pct"/>
            <w:vAlign w:val="center"/>
          </w:tcPr>
          <w:p w14:paraId="19925DFC">
            <w:pPr>
              <w:adjustRightInd w:val="0"/>
              <w:spacing w:line="240" w:lineRule="auto"/>
              <w:jc w:val="center"/>
              <w:rPr>
                <w:rFonts w:cs="Times New Roman"/>
              </w:rPr>
            </w:pPr>
            <w:r>
              <w:rPr>
                <w:rFonts w:hint="eastAsia" w:cs="Times New Roman"/>
              </w:rPr>
              <w:t>供水及生态</w:t>
            </w:r>
          </w:p>
        </w:tc>
        <w:tc>
          <w:tcPr>
            <w:tcW w:w="473" w:type="pct"/>
            <w:vAlign w:val="center"/>
          </w:tcPr>
          <w:p w14:paraId="1F2C4113">
            <w:pPr>
              <w:adjustRightInd w:val="0"/>
              <w:spacing w:line="240" w:lineRule="auto"/>
              <w:jc w:val="center"/>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ROMAN</w:instrText>
            </w:r>
            <w:r>
              <w:rPr>
                <w:rFonts w:cs="Times New Roman"/>
              </w:rPr>
              <w:instrText xml:space="preserve"> </w:instrText>
            </w:r>
            <w:r>
              <w:rPr>
                <w:rFonts w:cs="Times New Roman"/>
              </w:rPr>
              <w:fldChar w:fldCharType="separate"/>
            </w:r>
            <w:r>
              <w:rPr>
                <w:rFonts w:cs="Times New Roman"/>
              </w:rPr>
              <w:t>II</w:t>
            </w:r>
            <w:r>
              <w:rPr>
                <w:rFonts w:cs="Times New Roman"/>
              </w:rPr>
              <w:fldChar w:fldCharType="end"/>
            </w:r>
          </w:p>
        </w:tc>
      </w:tr>
    </w:tbl>
    <w:p w14:paraId="6E564114">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1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⑴</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节水措施</w:t>
      </w:r>
    </w:p>
    <w:p w14:paraId="64B1E02F">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农业节水方面，进一步挖掘节水潜力，加快三湖河灌区节水与现代化改造和高效节水灌溉，将传统灌溉模式、低压管灌或喷灌改造成滴灌高效节水灌溉模式。</w:t>
      </w:r>
    </w:p>
    <w:p w14:paraId="686729E0">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城镇节水方面，深入开展公共领域节水，实施公共供水管网建设改造，公共建筑必须采用节水器具，限期淘汰不符合节水标准的用水器具。从严控制洗浴、洗车、宾馆等行业用水定额，推动城镇节水。</w:t>
      </w:r>
    </w:p>
    <w:p w14:paraId="1ED7D0C8">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在工业节水方面，超过取用水定额标准的企业，限期实施节水改造。促进煤炭、火力发电等高耗水行业节水改造，加强冷却水利用、废污水深度处理与利用、高耗水生产工艺替代等，加强工业节水减排。</w:t>
      </w:r>
    </w:p>
    <w:p w14:paraId="7760CDAA">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2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⑵</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非常规水利用</w:t>
      </w:r>
    </w:p>
    <w:p w14:paraId="10F77ED3">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九原区非常规水源包括再生水、和雨水等，2023年度九原区再生水利用量为112.47万m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，污水处理厂处理后的水量为145万m</w:t>
      </w:r>
      <w:r>
        <w:rPr>
          <w:rFonts w:hint="eastAsia" w:cs="Times New Roman"/>
          <w:color w:val="000000" w:themeColor="text1"/>
          <w:sz w:val="28"/>
          <w:szCs w:val="28"/>
          <w:vertAlign w:val="superscript"/>
          <w14:textFill>
            <w14:solidFill>
              <w14:schemeClr w14:val="tx1"/>
            </w14:solidFill>
          </w14:textFill>
        </w:rPr>
        <w:t>3</w:t>
      </w:r>
      <w:r>
        <w:rPr>
          <w:rFonts w:hint="eastAsia" w:cs="Times New Roman"/>
          <w:color w:val="000000" w:themeColor="text1"/>
          <w:sz w:val="28"/>
          <w:szCs w:val="28"/>
          <w14:textFill>
            <w14:solidFill>
              <w14:schemeClr w14:val="tx1"/>
            </w14:solidFill>
          </w14:textFill>
        </w:rPr>
        <w:t>，再生水利用率为77%。九原区对具备非常规水源利用条件的用水户，在下达用水计划时配置非常规水源。</w:t>
      </w:r>
    </w:p>
    <w:p w14:paraId="5C9BB839">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积极推进非常规水源利用，加大污水收集处理及再生利用设施建设，提高再生水、雨洪水、苦咸水、矿井水等非常规水源利用量，用于工业生产、城镇绿化等，对具备使用非常规水源条件但未充分利用的钢铁、火电、化工等项目，不得批准其新增取用地下水并逐步削减地下水取水量，逐步提高再生水利用率。在充分利用当地水源工程及非常规水源利用的基础上，结合国家重大供水、调水和水系连通工程，加强地表水地下水联合调度，科学配置水资源，大力推进配套工程建设，增强水源调蓄能力，扩大供水管网覆盖范围，置换城镇、工业和农村集中供水区地下水开采量。生态屏障用水置换为再生水。</w:t>
      </w:r>
    </w:p>
    <w:p w14:paraId="5ECD4E0F">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3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⑶</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严格地下水管理</w:t>
      </w:r>
    </w:p>
    <w:p w14:paraId="63CBEBDA">
      <w:pPr>
        <w:widowControl/>
        <w:adjustRightInd w:val="0"/>
        <w:ind w:firstLine="560" w:firstLineChars="200"/>
        <w:rPr>
          <w:rFonts w:eastAsia="黑体" w:cs="Times New Roman"/>
          <w:kern w:val="0"/>
          <w:sz w:val="28"/>
          <w:szCs w:val="28"/>
        </w:rPr>
      </w:pPr>
      <w:r>
        <w:rPr>
          <w:rFonts w:hint="eastAsia" w:cs="Times New Roman"/>
          <w:color w:val="000000" w:themeColor="text1"/>
          <w:sz w:val="28"/>
          <w:szCs w:val="28"/>
          <w14:textFill>
            <w14:solidFill>
              <w14:schemeClr w14:val="tx1"/>
            </w14:solidFill>
          </w14:textFill>
        </w:rPr>
        <w:t>为了推进落实最严格水资源管理制度，强化“三条红线”刚性约束，推进水资源消耗总量和强度双控行动。强化地下水用水总量控制，以地下水承载能力为刚性约束，量水而行，优化水资源配置和产业结构调整，强化水资源保护。将地下水用水总量分解到各行业，优先保证优质地下水用于城乡居民生活，严格控制地下水灌区规模，全面推行高效节水，稳定农业灌溉用水量。新建、改建、扩建的高耗水工业项目，禁止使用地下水，已使用地下水企业逐步置换为其他水源。食品、制药等项目取用地下水，须经有管理权限的水行政主管部门批准。园林绿化用水应优先配置再生水、疏干水等非常规水资源，限制取用地下水。</w:t>
      </w:r>
    </w:p>
    <w:p w14:paraId="270843B5">
      <w:pPr>
        <w:pStyle w:val="4"/>
        <w:widowControl/>
        <w:adjustRightInd w:val="0"/>
        <w:spacing w:before="0" w:after="0" w:line="360" w:lineRule="auto"/>
        <w:jc w:val="left"/>
        <w:rPr>
          <w:rFonts w:eastAsia="黑体" w:cs="Times New Roman"/>
          <w:b w:val="0"/>
          <w:bCs w:val="0"/>
          <w:kern w:val="0"/>
          <w:sz w:val="28"/>
          <w:szCs w:val="28"/>
        </w:rPr>
      </w:pPr>
      <w:bookmarkStart w:id="170" w:name="_Toc198652093"/>
      <w:r>
        <w:rPr>
          <w:rFonts w:hint="eastAsia" w:eastAsia="黑体" w:cs="Times New Roman"/>
          <w:b w:val="0"/>
          <w:bCs w:val="0"/>
          <w:kern w:val="0"/>
          <w:sz w:val="28"/>
          <w:szCs w:val="28"/>
        </w:rPr>
        <w:t>6.5.2污染源控制与治理目标</w:t>
      </w:r>
      <w:bookmarkEnd w:id="170"/>
    </w:p>
    <w:p w14:paraId="5457909D">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1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⑴</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污染源控制准则</w:t>
      </w:r>
    </w:p>
    <w:p w14:paraId="2FE2A2F0">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根据城镇规划区地表水、地下水水环境污染现状及其成因，对城镇规划区污染源提出如下控制准则。</w:t>
      </w:r>
    </w:p>
    <w:p w14:paraId="2491AC14">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①以点源治理为基础，集中处理相配套，总量控制与浓度并举；</w:t>
      </w:r>
    </w:p>
    <w:p w14:paraId="5C8ACAD6">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②总量控制，根据实际情况制定城镇规划区废水污染物控制的目标总量；</w:t>
      </w:r>
    </w:p>
    <w:p w14:paraId="05B6CE2B">
      <w:pPr>
        <w:widowControl/>
        <w:adjustRightInd w:val="0"/>
        <w:ind w:firstLine="56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③浓度控制，在对工业废水污染源治理实施限期达标排放的同时，推行和实施排污许可证，逐步实现对污染企业的总量控制与浓度</w:t>
      </w:r>
    </w:p>
    <w:p w14:paraId="750BC7CC">
      <w:r>
        <w:rPr>
          <w:rFonts w:hint="eastAsia"/>
        </w:rPr>
        <w:t>控制相结合的管理方式。</w:t>
      </w:r>
    </w:p>
    <w:p w14:paraId="013C2967">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④对污水排放量比较大的企业采取达标治理与再生回用相结合的原则。</w:t>
      </w:r>
    </w:p>
    <w:p w14:paraId="7C0CFF6C">
      <w:pPr>
        <w:widowControl/>
        <w:adjustRightInd w:val="0"/>
        <w:ind w:firstLine="562" w:firstLineChars="200"/>
        <w:rPr>
          <w:rFonts w:cs="Times New Roman"/>
          <w:b/>
          <w:bCs/>
          <w:color w:val="000000" w:themeColor="text1"/>
          <w:sz w:val="28"/>
          <w:szCs w:val="28"/>
          <w14:textFill>
            <w14:solidFill>
              <w14:schemeClr w14:val="tx1"/>
            </w14:solidFill>
          </w14:textFill>
        </w:rPr>
      </w:pPr>
      <w:r>
        <w:rPr>
          <w:rFonts w:cs="Times New Roman"/>
          <w:b/>
          <w:bCs/>
          <w:color w:val="000000" w:themeColor="text1"/>
          <w:sz w:val="28"/>
          <w:szCs w:val="28"/>
          <w14:textFill>
            <w14:solidFill>
              <w14:schemeClr w14:val="tx1"/>
            </w14:solidFill>
          </w14:textFill>
        </w:rPr>
        <w:fldChar w:fldCharType="begin"/>
      </w:r>
      <w:r>
        <w:rPr>
          <w:rFonts w:cs="Times New Roman"/>
          <w:b/>
          <w:bCs/>
          <w:color w:val="000000" w:themeColor="text1"/>
          <w:sz w:val="28"/>
          <w:szCs w:val="28"/>
          <w14:textFill>
            <w14:solidFill>
              <w14:schemeClr w14:val="tx1"/>
            </w14:solidFill>
          </w14:textFill>
        </w:rPr>
        <w:instrText xml:space="preserve"> </w:instrText>
      </w:r>
      <w:r>
        <w:rPr>
          <w:rFonts w:hint="eastAsia" w:cs="Times New Roman"/>
          <w:b/>
          <w:bCs/>
          <w:color w:val="000000" w:themeColor="text1"/>
          <w:sz w:val="28"/>
          <w:szCs w:val="28"/>
          <w14:textFill>
            <w14:solidFill>
              <w14:schemeClr w14:val="tx1"/>
            </w14:solidFill>
          </w14:textFill>
        </w:rPr>
        <w:instrText xml:space="preserve">= 2 \* GB2</w:instrText>
      </w:r>
      <w:r>
        <w:rPr>
          <w:rFonts w:cs="Times New Roman"/>
          <w:b/>
          <w:bCs/>
          <w:color w:val="000000" w:themeColor="text1"/>
          <w:sz w:val="28"/>
          <w:szCs w:val="28"/>
          <w14:textFill>
            <w14:solidFill>
              <w14:schemeClr w14:val="tx1"/>
            </w14:solidFill>
          </w14:textFill>
        </w:rPr>
        <w:instrText xml:space="preserve"> </w:instrText>
      </w:r>
      <w:r>
        <w:rPr>
          <w:rFonts w:cs="Times New Roman"/>
          <w:b/>
          <w:bCs/>
          <w:color w:val="000000" w:themeColor="text1"/>
          <w:sz w:val="28"/>
          <w:szCs w:val="28"/>
          <w14:textFill>
            <w14:solidFill>
              <w14:schemeClr w14:val="tx1"/>
            </w14:solidFill>
          </w14:textFill>
        </w:rPr>
        <w:fldChar w:fldCharType="separate"/>
      </w:r>
      <w:r>
        <w:rPr>
          <w:rFonts w:hint="eastAsia" w:cs="Times New Roman"/>
          <w:b/>
          <w:bCs/>
          <w:color w:val="000000" w:themeColor="text1"/>
          <w:sz w:val="28"/>
          <w:szCs w:val="28"/>
          <w14:textFill>
            <w14:solidFill>
              <w14:schemeClr w14:val="tx1"/>
            </w14:solidFill>
          </w14:textFill>
        </w:rPr>
        <w:t>⑵</w:t>
      </w:r>
      <w:r>
        <w:rPr>
          <w:rFonts w:cs="Times New Roman"/>
          <w:b/>
          <w:bCs/>
          <w:color w:val="000000" w:themeColor="text1"/>
          <w:sz w:val="28"/>
          <w:szCs w:val="28"/>
          <w14:textFill>
            <w14:solidFill>
              <w14:schemeClr w14:val="tx1"/>
            </w14:solidFill>
          </w14:textFill>
        </w:rPr>
        <w:fldChar w:fldCharType="end"/>
      </w:r>
      <w:r>
        <w:rPr>
          <w:rFonts w:hint="eastAsia" w:cs="Times New Roman"/>
          <w:b/>
          <w:bCs/>
          <w:color w:val="000000" w:themeColor="text1"/>
          <w:sz w:val="28"/>
          <w:szCs w:val="28"/>
          <w14:textFill>
            <w14:solidFill>
              <w14:schemeClr w14:val="tx1"/>
            </w14:solidFill>
          </w14:textFill>
        </w:rPr>
        <w:t>污染源控制目标</w:t>
      </w:r>
    </w:p>
    <w:p w14:paraId="19AFDC7B">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污染源控制目标主要从以下几方面：</w:t>
      </w:r>
    </w:p>
    <w:p w14:paraId="63E7F002">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①对工业企业，在要求采取清洁生产工艺，淘汰旧工艺旧设备，配套建设污水处理系统和回用系统，实现污水达标排放或少排放、零排放的点源治理。</w:t>
      </w:r>
    </w:p>
    <w:p w14:paraId="24B5725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②对于有特殊污染物的企业或单位，采取单独点源治理达标对策，实时监控，严格控制。</w:t>
      </w:r>
    </w:p>
    <w:p w14:paraId="5B3A98D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③对占污水比重较大的生活污水的处理，要结合城镇污水集中处理再生回用工程的建设，实施管网改造，使城镇生活污水尽可能地集中处理，达标后统一加以利用。</w:t>
      </w:r>
    </w:p>
    <w:p w14:paraId="0F4C8228">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④除对点源限期治理，保证废水达标排放或再生回用外，同时也要加强对面源的管理，要限制河流两岸、水源保护区农药、化肥的使用量。</w:t>
      </w:r>
    </w:p>
    <w:p w14:paraId="78036E91">
      <w:pPr>
        <w:pStyle w:val="4"/>
        <w:widowControl/>
        <w:adjustRightInd w:val="0"/>
        <w:spacing w:before="0" w:after="0" w:line="360" w:lineRule="auto"/>
        <w:jc w:val="left"/>
        <w:rPr>
          <w:rFonts w:eastAsia="黑体" w:cs="Times New Roman"/>
          <w:b w:val="0"/>
          <w:bCs w:val="0"/>
          <w:kern w:val="0"/>
          <w:sz w:val="28"/>
          <w:szCs w:val="28"/>
        </w:rPr>
      </w:pPr>
      <w:bookmarkStart w:id="171" w:name="_Toc198652094"/>
      <w:r>
        <w:rPr>
          <w:rFonts w:hint="eastAsia" w:eastAsia="黑体" w:cs="Times New Roman"/>
          <w:b w:val="0"/>
          <w:bCs w:val="0"/>
          <w:kern w:val="0"/>
          <w:sz w:val="28"/>
          <w:szCs w:val="28"/>
        </w:rPr>
        <w:t>6.5.3水源保护措施</w:t>
      </w:r>
      <w:bookmarkEnd w:id="171"/>
    </w:p>
    <w:p w14:paraId="48DBBEB5">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针对水生态恶化、水污然突出的问题，按照《中华人民共和国水法》的规定，重点在制定和完善水功能区划、加强水功能区管理、审定水域纳污能力、排污总量控制、饮用水水源保护、入河排污口管理等方面，研究提出加强规划约束、完善管理程序、落实责任主体、加强管理力度、强化问责制度、促进社会参与公众监督的制度和措施，建立起以水功能区管理为基础的水资源保护制度。</w:t>
      </w:r>
    </w:p>
    <w:p w14:paraId="50BA3B1E">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工业园区是自治区级重点工业园区，被自治区政府列为内蒙古以呼包鄂为核心沿黄河沿交通干线经济带重点园区。九原区乃至包头市的工业生产几乎都集中在工业园区内，水资源的短缺将成为制约地方工业发展的主要因素，因此对水资源保护是解决水资源短缺的重要保证，也是水资源可持续发展的主要措施。水资源保护要做到以下几点：</w:t>
      </w:r>
    </w:p>
    <w:p w14:paraId="6B66CBA3">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1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⑴</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划定水功能区，实行分类管理，加大对水功能区排放污水的管理，规定禁止向饮用水水源保护区水域排放污水。</w:t>
      </w:r>
    </w:p>
    <w:p w14:paraId="2EAC4255">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2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⑵</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建立污水处理厂，采用高效的污水处理技术，实行废污水的二次利用。</w:t>
      </w:r>
    </w:p>
    <w:p w14:paraId="4CB2370C">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3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⑶</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加强水污染防治，保护水源地，保证城市人民生活质量和环境质量。</w:t>
      </w:r>
    </w:p>
    <w:p w14:paraId="15848ABD">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4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⑷</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严格排污许可。在企业排污范围内，对于排到自然水体的污水，一定要达到国家允许排放的标准，不允许对环境造成损害；对于排到公共污水管网的污水，通过污水处理厂集中处理，企业承担相应的处理费用。制定合理的排污标准。要制定合理的污水排放费征收标准，为污水处理企业创造条件。</w:t>
      </w:r>
    </w:p>
    <w:p w14:paraId="520B7CBA">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5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⑸</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对于生活污水的防治，要采取综合措施。</w:t>
      </w:r>
    </w:p>
    <w:p w14:paraId="71109359">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6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⑹</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发挥水价的积极作用，对生活用水和排污都要建立定额管理，累进加价的水价制度，通过经济杠杆调整，提高公文的节水意识，加强节约用水，减少排污。根据九原区的具体情况，水环境治理和保护重要是污水处理工程、水质监测设备和水源保护工程等。</w:t>
      </w:r>
    </w:p>
    <w:p w14:paraId="7076068A">
      <w:pPr>
        <w:widowControl/>
        <w:adjustRightInd w:val="0"/>
        <w:ind w:firstLine="560" w:firstLineChars="200"/>
        <w:rPr>
          <w:rFonts w:cs="Times New Roman"/>
          <w:color w:val="000000" w:themeColor="text1"/>
          <w:sz w:val="28"/>
          <w:szCs w:val="28"/>
          <w14:textFill>
            <w14:solidFill>
              <w14:schemeClr w14:val="tx1"/>
            </w14:solidFill>
          </w14:textFill>
        </w:rPr>
        <w:sectPr>
          <w:headerReference r:id="rId16" w:type="default"/>
          <w:pgSz w:w="11906" w:h="16838"/>
          <w:pgMar w:top="1440" w:right="1800" w:bottom="1440" w:left="1800" w:header="851" w:footer="992" w:gutter="0"/>
          <w:cols w:space="425" w:num="1"/>
          <w:docGrid w:type="lines" w:linePitch="312" w:charSpace="0"/>
        </w:sectPr>
      </w:pPr>
    </w:p>
    <w:p w14:paraId="7AE5D6A3">
      <w:pPr>
        <w:adjustRightInd w:val="0"/>
        <w:spacing w:line="240" w:lineRule="auto"/>
        <w:jc w:val="center"/>
        <w:rPr>
          <w:rFonts w:cs="Times New Roman"/>
          <w:b/>
          <w:bCs/>
          <w:sz w:val="28"/>
          <w:szCs w:val="24"/>
        </w:rPr>
      </w:pPr>
      <w:r>
        <w:rPr>
          <w:rFonts w:cs="Times New Roman"/>
          <w:b/>
          <w:bCs/>
          <w:sz w:val="28"/>
          <w:szCs w:val="24"/>
        </w:rPr>
        <w:t>表6-</w:t>
      </w:r>
      <w:r>
        <w:rPr>
          <w:rFonts w:hint="eastAsia" w:cs="Times New Roman"/>
          <w:b/>
          <w:bCs/>
          <w:sz w:val="28"/>
          <w:szCs w:val="24"/>
        </w:rPr>
        <w:t>6  水源地保护工程</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3"/>
        <w:gridCol w:w="2503"/>
        <w:gridCol w:w="1820"/>
        <w:gridCol w:w="4896"/>
        <w:gridCol w:w="1792"/>
      </w:tblGrid>
      <w:tr w14:paraId="34D77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6" w:type="pct"/>
            <w:vAlign w:val="center"/>
          </w:tcPr>
          <w:p w14:paraId="5E682AD1">
            <w:pPr>
              <w:widowControl/>
              <w:adjustRightInd w:val="0"/>
              <w:spacing w:line="240" w:lineRule="auto"/>
              <w:jc w:val="center"/>
              <w:rPr>
                <w:rFonts w:cs="Times New Roman"/>
                <w:b/>
                <w:bCs/>
                <w:szCs w:val="24"/>
              </w:rPr>
            </w:pPr>
            <w:r>
              <w:rPr>
                <w:rFonts w:cs="Times New Roman"/>
                <w:b/>
                <w:bCs/>
                <w:color w:val="000000" w:themeColor="text1"/>
                <w:szCs w:val="24"/>
                <w14:textFill>
                  <w14:solidFill>
                    <w14:schemeClr w14:val="tx1"/>
                  </w14:solidFill>
                </w14:textFill>
              </w:rPr>
              <w:t>工程名称</w:t>
            </w:r>
          </w:p>
        </w:tc>
        <w:tc>
          <w:tcPr>
            <w:tcW w:w="883" w:type="pct"/>
            <w:vAlign w:val="center"/>
          </w:tcPr>
          <w:p w14:paraId="5D3F7AA7">
            <w:pPr>
              <w:widowControl/>
              <w:adjustRightInd w:val="0"/>
              <w:spacing w:line="240" w:lineRule="auto"/>
              <w:jc w:val="center"/>
              <w:rPr>
                <w:rFonts w:cs="Times New Roman"/>
                <w:b/>
                <w:bCs/>
                <w:szCs w:val="24"/>
              </w:rPr>
            </w:pPr>
            <w:r>
              <w:rPr>
                <w:rFonts w:cs="Times New Roman"/>
                <w:b/>
                <w:bCs/>
                <w:color w:val="000000" w:themeColor="text1"/>
                <w:szCs w:val="24"/>
                <w14:textFill>
                  <w14:solidFill>
                    <w14:schemeClr w14:val="tx1"/>
                  </w14:solidFill>
                </w14:textFill>
              </w:rPr>
              <w:t>项目具体地点</w:t>
            </w:r>
          </w:p>
        </w:tc>
        <w:tc>
          <w:tcPr>
            <w:tcW w:w="642" w:type="pct"/>
            <w:vAlign w:val="center"/>
          </w:tcPr>
          <w:p w14:paraId="675133A1">
            <w:pPr>
              <w:widowControl/>
              <w:adjustRightInd w:val="0"/>
              <w:spacing w:line="240" w:lineRule="auto"/>
              <w:jc w:val="center"/>
              <w:rPr>
                <w:rFonts w:cs="Times New Roman"/>
                <w:b/>
                <w:bCs/>
                <w:szCs w:val="24"/>
              </w:rPr>
            </w:pPr>
            <w:r>
              <w:rPr>
                <w:rFonts w:cs="Times New Roman"/>
                <w:b/>
                <w:bCs/>
                <w:color w:val="000000" w:themeColor="text1"/>
                <w:szCs w:val="24"/>
                <w14:textFill>
                  <w14:solidFill>
                    <w14:schemeClr w14:val="tx1"/>
                  </w14:solidFill>
                </w14:textFill>
              </w:rPr>
              <w:t>保护范围(km</w:t>
            </w:r>
            <w:r>
              <w:rPr>
                <w:rFonts w:hint="eastAsia" w:cs="Times New Roman"/>
                <w:b/>
                <w:bCs/>
                <w:color w:val="000000" w:themeColor="text1"/>
                <w:szCs w:val="24"/>
                <w:vertAlign w:val="superscript"/>
                <w14:textFill>
                  <w14:solidFill>
                    <w14:schemeClr w14:val="tx1"/>
                  </w14:solidFill>
                </w14:textFill>
              </w:rPr>
              <w:t>2</w:t>
            </w:r>
            <w:r>
              <w:rPr>
                <w:rFonts w:cs="Times New Roman"/>
                <w:b/>
                <w:bCs/>
                <w:color w:val="000000" w:themeColor="text1"/>
                <w:szCs w:val="24"/>
                <w14:textFill>
                  <w14:solidFill>
                    <w14:schemeClr w14:val="tx1"/>
                  </w14:solidFill>
                </w14:textFill>
              </w:rPr>
              <w:t>)</w:t>
            </w:r>
          </w:p>
        </w:tc>
        <w:tc>
          <w:tcPr>
            <w:tcW w:w="1727" w:type="pct"/>
            <w:vAlign w:val="center"/>
          </w:tcPr>
          <w:p w14:paraId="313694F6">
            <w:pPr>
              <w:widowControl/>
              <w:adjustRightInd w:val="0"/>
              <w:spacing w:line="240" w:lineRule="auto"/>
              <w:jc w:val="center"/>
              <w:rPr>
                <w:rFonts w:cs="Times New Roman"/>
                <w:b/>
                <w:bCs/>
                <w:szCs w:val="24"/>
              </w:rPr>
            </w:pPr>
            <w:r>
              <w:rPr>
                <w:rFonts w:cs="Times New Roman"/>
                <w:b/>
                <w:bCs/>
                <w:color w:val="000000" w:themeColor="text1"/>
                <w:szCs w:val="24"/>
                <w14:textFill>
                  <w14:solidFill>
                    <w14:schemeClr w14:val="tx1"/>
                  </w14:solidFill>
                </w14:textFill>
              </w:rPr>
              <w:t>主要建设内容</w:t>
            </w:r>
          </w:p>
        </w:tc>
        <w:tc>
          <w:tcPr>
            <w:tcW w:w="632" w:type="pct"/>
            <w:vAlign w:val="center"/>
          </w:tcPr>
          <w:p w14:paraId="15FD634F">
            <w:pPr>
              <w:widowControl/>
              <w:adjustRightInd w:val="0"/>
              <w:spacing w:line="240" w:lineRule="auto"/>
              <w:jc w:val="center"/>
              <w:rPr>
                <w:rFonts w:cs="Times New Roman"/>
                <w:b/>
                <w:bCs/>
                <w:szCs w:val="24"/>
              </w:rPr>
            </w:pPr>
            <w:r>
              <w:rPr>
                <w:rFonts w:cs="Times New Roman"/>
                <w:b/>
                <w:bCs/>
                <w:color w:val="000000" w:themeColor="text1"/>
                <w:szCs w:val="24"/>
                <w14:textFill>
                  <w14:solidFill>
                    <w14:schemeClr w14:val="tx1"/>
                  </w14:solidFill>
                </w14:textFill>
              </w:rPr>
              <w:t>投资（万元）</w:t>
            </w:r>
          </w:p>
        </w:tc>
      </w:tr>
      <w:tr w14:paraId="6FB82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6" w:type="pct"/>
            <w:vAlign w:val="center"/>
          </w:tcPr>
          <w:p w14:paraId="499D775E">
            <w:pPr>
              <w:widowControl/>
              <w:adjustRightInd w:val="0"/>
              <w:spacing w:line="240" w:lineRule="auto"/>
              <w:jc w:val="center"/>
              <w:rPr>
                <w:rFonts w:cs="Times New Roman"/>
                <w:b/>
                <w:bCs/>
                <w:szCs w:val="24"/>
              </w:rPr>
            </w:pPr>
            <w:bookmarkStart w:id="172" w:name="_Hlk191890623"/>
            <w:r>
              <w:rPr>
                <w:rFonts w:cs="Times New Roman"/>
                <w:color w:val="000000" w:themeColor="text1"/>
                <w:szCs w:val="24"/>
                <w14:textFill>
                  <w14:solidFill>
                    <w14:schemeClr w14:val="tx1"/>
                  </w14:solidFill>
                </w14:textFill>
              </w:rPr>
              <w:t>边界隔离保护工程</w:t>
            </w:r>
          </w:p>
        </w:tc>
        <w:tc>
          <w:tcPr>
            <w:tcW w:w="883" w:type="pct"/>
            <w:vAlign w:val="center"/>
          </w:tcPr>
          <w:p w14:paraId="38F91AF4">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水源地一级保护区</w:t>
            </w:r>
          </w:p>
        </w:tc>
        <w:tc>
          <w:tcPr>
            <w:tcW w:w="642" w:type="pct"/>
            <w:vAlign w:val="center"/>
          </w:tcPr>
          <w:p w14:paraId="478BD942">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50</w:t>
            </w:r>
          </w:p>
        </w:tc>
        <w:tc>
          <w:tcPr>
            <w:tcW w:w="1727" w:type="pct"/>
            <w:vAlign w:val="center"/>
          </w:tcPr>
          <w:p w14:paraId="5B1A91EA">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护栏、围网、防护林</w:t>
            </w:r>
          </w:p>
        </w:tc>
        <w:tc>
          <w:tcPr>
            <w:tcW w:w="632" w:type="pct"/>
            <w:vAlign w:val="center"/>
          </w:tcPr>
          <w:p w14:paraId="255CAF27">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5000</w:t>
            </w:r>
          </w:p>
        </w:tc>
      </w:tr>
      <w:tr w14:paraId="5AEFA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6" w:type="pct"/>
            <w:vAlign w:val="center"/>
          </w:tcPr>
          <w:p w14:paraId="07149F41">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全区乡镇所在地水源地保护</w:t>
            </w:r>
          </w:p>
        </w:tc>
        <w:tc>
          <w:tcPr>
            <w:tcW w:w="883" w:type="pct"/>
            <w:vAlign w:val="center"/>
          </w:tcPr>
          <w:p w14:paraId="3D2E29E6">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各乡镇所在地水源地</w:t>
            </w:r>
          </w:p>
        </w:tc>
        <w:tc>
          <w:tcPr>
            <w:tcW w:w="642" w:type="pct"/>
            <w:vAlign w:val="center"/>
          </w:tcPr>
          <w:p w14:paraId="2F0A399E">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全区</w:t>
            </w:r>
          </w:p>
        </w:tc>
        <w:tc>
          <w:tcPr>
            <w:tcW w:w="1727" w:type="pct"/>
            <w:vAlign w:val="center"/>
          </w:tcPr>
          <w:p w14:paraId="36512CCE">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坑、塘、池</w:t>
            </w:r>
          </w:p>
        </w:tc>
        <w:tc>
          <w:tcPr>
            <w:tcW w:w="632" w:type="pct"/>
            <w:vAlign w:val="center"/>
          </w:tcPr>
          <w:p w14:paraId="63309C79">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9000</w:t>
            </w:r>
          </w:p>
        </w:tc>
      </w:tr>
      <w:tr w14:paraId="5B6C1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6" w:type="pct"/>
            <w:vAlign w:val="center"/>
          </w:tcPr>
          <w:p w14:paraId="37B18706">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水源动态监测</w:t>
            </w:r>
          </w:p>
        </w:tc>
        <w:tc>
          <w:tcPr>
            <w:tcW w:w="883" w:type="pct"/>
            <w:vAlign w:val="center"/>
          </w:tcPr>
          <w:p w14:paraId="3095B97D">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小白河水源地</w:t>
            </w:r>
          </w:p>
        </w:tc>
        <w:tc>
          <w:tcPr>
            <w:tcW w:w="642" w:type="pct"/>
            <w:vAlign w:val="center"/>
          </w:tcPr>
          <w:p w14:paraId="7AF9AEBF">
            <w:pPr>
              <w:adjustRightInd w:val="0"/>
              <w:spacing w:line="240" w:lineRule="auto"/>
              <w:jc w:val="center"/>
              <w:rPr>
                <w:rFonts w:cs="Times New Roman"/>
                <w:b/>
                <w:bCs/>
                <w:szCs w:val="24"/>
              </w:rPr>
            </w:pPr>
          </w:p>
        </w:tc>
        <w:tc>
          <w:tcPr>
            <w:tcW w:w="1727" w:type="pct"/>
            <w:vAlign w:val="center"/>
          </w:tcPr>
          <w:p w14:paraId="57B1DA62">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检测设备</w:t>
            </w:r>
          </w:p>
        </w:tc>
        <w:tc>
          <w:tcPr>
            <w:tcW w:w="632" w:type="pct"/>
            <w:vAlign w:val="center"/>
          </w:tcPr>
          <w:p w14:paraId="5D13CB53">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1000</w:t>
            </w:r>
          </w:p>
        </w:tc>
      </w:tr>
      <w:tr w14:paraId="0DE1A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6" w:type="pct"/>
            <w:vAlign w:val="center"/>
          </w:tcPr>
          <w:p w14:paraId="5C53D66A">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实施地下水治理与保护项目</w:t>
            </w:r>
          </w:p>
        </w:tc>
        <w:tc>
          <w:tcPr>
            <w:tcW w:w="883" w:type="pct"/>
            <w:vAlign w:val="center"/>
          </w:tcPr>
          <w:p w14:paraId="175597CC">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农灌区</w:t>
            </w:r>
          </w:p>
        </w:tc>
        <w:tc>
          <w:tcPr>
            <w:tcW w:w="642" w:type="pct"/>
            <w:vAlign w:val="center"/>
          </w:tcPr>
          <w:p w14:paraId="49AD272E">
            <w:pPr>
              <w:adjustRightInd w:val="0"/>
              <w:spacing w:line="240" w:lineRule="auto"/>
              <w:jc w:val="center"/>
              <w:rPr>
                <w:rFonts w:cs="Times New Roman"/>
                <w:b/>
                <w:bCs/>
                <w:szCs w:val="24"/>
              </w:rPr>
            </w:pPr>
          </w:p>
        </w:tc>
        <w:tc>
          <w:tcPr>
            <w:tcW w:w="1727" w:type="pct"/>
            <w:vAlign w:val="center"/>
          </w:tcPr>
          <w:p w14:paraId="12C4E0C9">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封停地下水源井，置换水源，农灌井节水</w:t>
            </w:r>
          </w:p>
        </w:tc>
        <w:tc>
          <w:tcPr>
            <w:tcW w:w="632" w:type="pct"/>
            <w:vAlign w:val="center"/>
          </w:tcPr>
          <w:p w14:paraId="25F04707">
            <w:pPr>
              <w:widowControl/>
              <w:adjustRightInd w:val="0"/>
              <w:spacing w:line="240" w:lineRule="auto"/>
              <w:jc w:val="center"/>
              <w:rPr>
                <w:rFonts w:cs="Times New Roman"/>
                <w:b/>
                <w:bCs/>
                <w:szCs w:val="24"/>
              </w:rPr>
            </w:pPr>
            <w:r>
              <w:rPr>
                <w:rFonts w:cs="Times New Roman"/>
                <w:color w:val="000000" w:themeColor="text1"/>
                <w:szCs w:val="24"/>
                <w14:textFill>
                  <w14:solidFill>
                    <w14:schemeClr w14:val="tx1"/>
                  </w14:solidFill>
                </w14:textFill>
              </w:rPr>
              <w:t>3000</w:t>
            </w:r>
          </w:p>
        </w:tc>
      </w:tr>
      <w:bookmarkEnd w:id="172"/>
    </w:tbl>
    <w:p w14:paraId="23D24BA2">
      <w:pPr>
        <w:adjustRightInd w:val="0"/>
        <w:spacing w:line="240" w:lineRule="auto"/>
        <w:jc w:val="center"/>
        <w:rPr>
          <w:rFonts w:cs="Times New Roman"/>
          <w:b/>
          <w:bCs/>
        </w:rPr>
        <w:sectPr>
          <w:pgSz w:w="16838" w:h="11906" w:orient="landscape"/>
          <w:pgMar w:top="1800" w:right="1440" w:bottom="1800" w:left="1440" w:header="851" w:footer="992" w:gutter="0"/>
          <w:cols w:space="425" w:num="1"/>
          <w:docGrid w:type="lines" w:linePitch="326" w:charSpace="0"/>
        </w:sectPr>
      </w:pPr>
    </w:p>
    <w:p w14:paraId="2498283E">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73" w:name="_Toc198652095"/>
      <w:r>
        <w:rPr>
          <w:rFonts w:hint="eastAsia" w:ascii="Times New Roman" w:hAnsi="Times New Roman" w:eastAsia="黑体" w:cs="Times New Roman"/>
          <w:b w:val="0"/>
          <w:bCs w:val="0"/>
          <w:kern w:val="0"/>
          <w:sz w:val="28"/>
          <w:szCs w:val="28"/>
        </w:rPr>
        <w:t>6.6共建活水富民网</w:t>
      </w:r>
      <w:bookmarkEnd w:id="173"/>
    </w:p>
    <w:p w14:paraId="7C4CA611">
      <w:pPr>
        <w:pStyle w:val="4"/>
        <w:widowControl/>
        <w:adjustRightInd w:val="0"/>
        <w:spacing w:before="0" w:after="0" w:line="360" w:lineRule="auto"/>
        <w:jc w:val="left"/>
        <w:rPr>
          <w:rFonts w:eastAsia="黑体" w:cs="Times New Roman"/>
          <w:b w:val="0"/>
          <w:bCs w:val="0"/>
          <w:kern w:val="0"/>
          <w:sz w:val="28"/>
          <w:szCs w:val="28"/>
        </w:rPr>
      </w:pPr>
      <w:bookmarkStart w:id="174" w:name="_Toc198652096"/>
      <w:r>
        <w:rPr>
          <w:rFonts w:hint="eastAsia" w:eastAsia="黑体" w:cs="Times New Roman"/>
          <w:b w:val="0"/>
          <w:bCs w:val="0"/>
          <w:kern w:val="0"/>
          <w:sz w:val="28"/>
          <w:szCs w:val="28"/>
        </w:rPr>
        <w:t>6.6.1基本思路</w:t>
      </w:r>
      <w:bookmarkEnd w:id="174"/>
    </w:p>
    <w:p w14:paraId="6A43D97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配合包头市以“共同富裕”为目标，全面践行“两山”理念，依托包头市山、水、林、田、草、沙兼具的资源禀赋，在稳固防洪、供水、水生态三大功能的前提下，弘扬水文化，发展水经济。结合乡村振兴战略做好“活水”文章，统筹提出“水+文旅、水+生态产品、水+农旅”包头“活水”的三大实施路径，构建具有包头特色的水文旅体系、培育包头优质水生态产品惠及百姓、发展涉水农村综合体推动水农旅融合发展，促进一二三产</w:t>
      </w:r>
      <w:r>
        <w:rPr>
          <w:rFonts w:hint="eastAsia" w:cs="Times New Roman"/>
          <w:color w:val="000000" w:themeColor="text1"/>
          <w:sz w:val="28"/>
          <w:szCs w:val="28"/>
          <w:lang w:eastAsia="zh-CN"/>
          <w14:textFill>
            <w14:solidFill>
              <w14:schemeClr w14:val="tx1"/>
            </w14:solidFill>
          </w14:textFill>
        </w:rPr>
        <w:t>业</w:t>
      </w:r>
      <w:r>
        <w:rPr>
          <w:rFonts w:hint="eastAsia" w:cs="Times New Roman"/>
          <w:color w:val="000000" w:themeColor="text1"/>
          <w:sz w:val="28"/>
          <w:szCs w:val="28"/>
          <w14:textFill>
            <w14:solidFill>
              <w14:schemeClr w14:val="tx1"/>
            </w14:solidFill>
          </w14:textFill>
        </w:rPr>
        <w:t>融合大力推进乡村振兴，通过政府引导、市场发力构建高品质的活水富民网，增强涉水资源变现生态经济的能力，实现生态美与百姓富的有机统一，共同助力包头经济社会高质量发展。</w:t>
      </w:r>
    </w:p>
    <w:p w14:paraId="62AB75C2">
      <w:pPr>
        <w:pStyle w:val="4"/>
        <w:widowControl/>
        <w:adjustRightInd w:val="0"/>
        <w:spacing w:before="0" w:after="0" w:line="360" w:lineRule="auto"/>
        <w:jc w:val="left"/>
        <w:rPr>
          <w:rFonts w:eastAsia="黑体" w:cs="Times New Roman"/>
          <w:b w:val="0"/>
          <w:bCs w:val="0"/>
          <w:kern w:val="0"/>
          <w:sz w:val="28"/>
          <w:szCs w:val="28"/>
        </w:rPr>
      </w:pPr>
      <w:bookmarkStart w:id="175" w:name="_Toc198652097"/>
      <w:r>
        <w:rPr>
          <w:rFonts w:hint="eastAsia" w:eastAsia="黑体" w:cs="Times New Roman"/>
          <w:b w:val="0"/>
          <w:bCs w:val="0"/>
          <w:kern w:val="0"/>
          <w:sz w:val="28"/>
          <w:szCs w:val="28"/>
        </w:rPr>
        <w:t>6.6.2建设九原区特色水文化旅游</w:t>
      </w:r>
      <w:bookmarkEnd w:id="175"/>
    </w:p>
    <w:p w14:paraId="0F4A779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基于九原区特色资源禀赋条件、河流生态绿道建设和旅游资源分布特点等，结合小白河景区资源优势，把握产业发展规律，努力促进文化和旅游深度融合，依托水网中谋划的河流水系、水利风景区、水土保持示范园、水系连通及水美乡村、湿地等工程，以水促旅，以旅彰文，谋划一批富含文化元素，集水利、生态、文化、旅游等功能于一体的水文旅示范项目与骨干水文化旅游线路，依托南小白河景区、黄河几字弯等历史文化和生态资源，构建具有九原区特色的“水+文旅”体系，以水带动九原区文旅发展，推动小白河景区提档升级。</w:t>
      </w:r>
    </w:p>
    <w:p w14:paraId="0042A380">
      <w:pPr>
        <w:pStyle w:val="4"/>
        <w:widowControl/>
        <w:adjustRightInd w:val="0"/>
        <w:spacing w:before="0" w:after="0" w:line="360" w:lineRule="auto"/>
        <w:jc w:val="left"/>
        <w:rPr>
          <w:rFonts w:eastAsia="黑体" w:cs="Times New Roman"/>
          <w:b w:val="0"/>
          <w:bCs w:val="0"/>
          <w:kern w:val="0"/>
          <w:sz w:val="28"/>
          <w:szCs w:val="28"/>
        </w:rPr>
      </w:pPr>
      <w:bookmarkStart w:id="176" w:name="_Toc198652098"/>
      <w:r>
        <w:rPr>
          <w:rFonts w:hint="eastAsia" w:eastAsia="黑体" w:cs="Times New Roman"/>
          <w:b w:val="0"/>
          <w:bCs w:val="0"/>
          <w:kern w:val="0"/>
          <w:sz w:val="28"/>
          <w:szCs w:val="28"/>
        </w:rPr>
        <w:t>6.6.3培育优质水生态产品惠及百姓</w:t>
      </w:r>
      <w:bookmarkEnd w:id="176"/>
    </w:p>
    <w:p w14:paraId="0B9E56A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抢抓国家乡村振兴战略，以水网要素为保障，通过九原区水网为农业提供高保证率水源，推进都市农业、现代农牧业等产业全面升级，加快培育壮大配套产业，构建具有九原区特色的草原明珠“水+生态产品”体系。按照“品种培优、品质提升、标准化生产、品牌打造、优质优价”的要求，围绕九原草莓特色农产品，立足九原区特点和农业布局，因地制宜构建“三农一牧多点”的农牧业空间发展格局，着力打造绿色生态农产品生产输出基地。</w:t>
      </w:r>
    </w:p>
    <w:p w14:paraId="546F7DD1">
      <w:pPr>
        <w:pStyle w:val="4"/>
        <w:widowControl/>
        <w:adjustRightInd w:val="0"/>
        <w:spacing w:before="0" w:after="0" w:line="360" w:lineRule="auto"/>
        <w:jc w:val="left"/>
        <w:rPr>
          <w:rFonts w:eastAsia="黑体" w:cs="Times New Roman"/>
          <w:b w:val="0"/>
          <w:bCs w:val="0"/>
          <w:kern w:val="0"/>
          <w:sz w:val="28"/>
          <w:szCs w:val="28"/>
        </w:rPr>
      </w:pPr>
      <w:bookmarkStart w:id="177" w:name="_Toc198652099"/>
      <w:r>
        <w:rPr>
          <w:rFonts w:hint="eastAsia" w:eastAsia="黑体" w:cs="Times New Roman"/>
          <w:b w:val="0"/>
          <w:bCs w:val="0"/>
          <w:kern w:val="0"/>
          <w:sz w:val="28"/>
          <w:szCs w:val="28"/>
        </w:rPr>
        <w:t>6.6.4发展农村涉水综合体推动水农旅融合</w:t>
      </w:r>
      <w:bookmarkEnd w:id="177"/>
    </w:p>
    <w:p w14:paraId="752E44E4">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依托九原区水网中谋划的高效节水、城乡供水、现代化灌区建设、水土保持、水美乡村等一系列项目，以“水”为媒，打造集农产品种植、加工、销售、观光、采摘于一体的现代农业休闲观光示范园、田园综合体及生态农业示范工程，由三产带一产促二产，促进一二三产深度融合，以水利高质量发展带动经济社会高质量发展，实现百姓富与生态美的有机统一。以小流域综合治理为契机，以九原区内嵌套主要流域为单元，发展“小流域综合整治+特色种植经济”模式。依托小流域综合治理、水美乡村建设、水文旅融合发展等项目，大力发展涉水农村生态旅游业，推动涉水旅游产业和传统农、牧、渔业等农业产业的有机融合，重点发展以“突出乡野风景、风土人情、民俗文化”为主题的观光农业、以“适时适季开展乡村寻宝之旅、品尝之旅、采摘之旅”为主题的特色体验农业、以“吃农家饭、住农家屋、享农家乐”为主题的农家乐等多种形态的休闲养生农业，建设产业兴、百姓富、生态美的美丽乡村。</w:t>
      </w:r>
    </w:p>
    <w:p w14:paraId="2594A50B">
      <w:pPr>
        <w:widowControl/>
        <w:adjustRightInd w:val="0"/>
        <w:ind w:firstLine="560" w:firstLineChars="200"/>
        <w:rPr>
          <w:rFonts w:cs="Times New Roman"/>
          <w:color w:val="000000" w:themeColor="text1"/>
          <w:sz w:val="28"/>
          <w:szCs w:val="28"/>
          <w14:textFill>
            <w14:solidFill>
              <w14:schemeClr w14:val="tx1"/>
            </w14:solidFill>
          </w14:textFill>
        </w:rPr>
        <w:sectPr>
          <w:pgSz w:w="11906" w:h="16838"/>
          <w:pgMar w:top="1440" w:right="1800" w:bottom="1440" w:left="1800" w:header="851" w:footer="992" w:gutter="0"/>
          <w:cols w:space="425" w:num="1"/>
          <w:docGrid w:type="lines" w:linePitch="312" w:charSpace="0"/>
        </w:sectPr>
      </w:pPr>
      <w:r>
        <w:rPr>
          <w:rFonts w:hint="eastAsia" w:cs="Times New Roman"/>
          <w:color w:val="000000" w:themeColor="text1"/>
          <w:sz w:val="28"/>
          <w:szCs w:val="28"/>
          <w14:textFill>
            <w14:solidFill>
              <w14:schemeClr w14:val="tx1"/>
            </w14:solidFill>
          </w14:textFill>
        </w:rPr>
        <w:t>九原区多渠道促进农牧民增收，实施“旅游+特色农牧业”战略，依托地区特色产业，充分利用全区沿山、沿河、沿交通干线独具特色的农牧业资源，大力发展休闲、采摘、观光于一体的都市农业和绿色蔬菜生产输出基地。将农家乐、牧家乐、渔家乐与农耕文化、乡村旅游融为一体，积极推广休闲采摘、农牧渔家乐等休闲农业模式，增加农牧民收入。</w:t>
      </w:r>
    </w:p>
    <w:bookmarkEnd w:id="152"/>
    <w:bookmarkEnd w:id="153"/>
    <w:bookmarkEnd w:id="154"/>
    <w:p w14:paraId="6A9237E6">
      <w:pPr>
        <w:pStyle w:val="2"/>
        <w:widowControl/>
        <w:adjustRightInd w:val="0"/>
        <w:spacing w:before="0" w:after="0" w:line="360" w:lineRule="auto"/>
        <w:jc w:val="left"/>
        <w:rPr>
          <w:rFonts w:eastAsia="黑体" w:cs="Times New Roman"/>
          <w:b w:val="0"/>
          <w:bCs w:val="0"/>
          <w:sz w:val="32"/>
          <w:szCs w:val="48"/>
        </w:rPr>
      </w:pPr>
      <w:bookmarkStart w:id="178" w:name="_Toc198652100"/>
      <w:r>
        <w:rPr>
          <w:rFonts w:eastAsia="黑体" w:cs="Times New Roman"/>
          <w:b w:val="0"/>
          <w:bCs w:val="0"/>
          <w:sz w:val="32"/>
          <w:szCs w:val="48"/>
        </w:rPr>
        <w:t>7打造</w:t>
      </w:r>
      <w:r>
        <w:rPr>
          <w:rFonts w:hint="eastAsia" w:eastAsia="黑体" w:cs="Times New Roman"/>
          <w:b w:val="0"/>
          <w:bCs w:val="0"/>
          <w:sz w:val="32"/>
          <w:szCs w:val="48"/>
        </w:rPr>
        <w:t>智慧管理</w:t>
      </w:r>
      <w:r>
        <w:rPr>
          <w:rFonts w:eastAsia="黑体" w:cs="Times New Roman"/>
          <w:b w:val="0"/>
          <w:bCs w:val="0"/>
          <w:sz w:val="32"/>
          <w:szCs w:val="48"/>
        </w:rPr>
        <w:t>水网体系</w:t>
      </w:r>
      <w:bookmarkEnd w:id="178"/>
    </w:p>
    <w:p w14:paraId="24140314">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79" w:name="_Toc198652101"/>
      <w:r>
        <w:rPr>
          <w:rFonts w:hint="eastAsia" w:ascii="Times New Roman" w:hAnsi="Times New Roman" w:eastAsia="黑体" w:cs="Times New Roman"/>
          <w:b w:val="0"/>
          <w:bCs w:val="0"/>
          <w:kern w:val="0"/>
          <w:sz w:val="28"/>
          <w:szCs w:val="28"/>
        </w:rPr>
        <w:t>7.1水文水资源和水土保持监测能力建设规划</w:t>
      </w:r>
      <w:bookmarkEnd w:id="179"/>
    </w:p>
    <w:p w14:paraId="2EC6D249">
      <w:pPr>
        <w:pStyle w:val="4"/>
        <w:widowControl/>
        <w:adjustRightInd w:val="0"/>
        <w:spacing w:before="0" w:after="0" w:line="360" w:lineRule="auto"/>
        <w:jc w:val="left"/>
        <w:rPr>
          <w:rFonts w:eastAsia="黑体" w:cs="Times New Roman"/>
          <w:b w:val="0"/>
          <w:bCs w:val="0"/>
          <w:kern w:val="0"/>
          <w:sz w:val="28"/>
          <w:szCs w:val="28"/>
        </w:rPr>
      </w:pPr>
      <w:bookmarkStart w:id="180" w:name="_Toc198652102"/>
      <w:r>
        <w:rPr>
          <w:rFonts w:hint="eastAsia" w:eastAsia="黑体" w:cs="Times New Roman"/>
          <w:b w:val="0"/>
          <w:bCs w:val="0"/>
          <w:kern w:val="0"/>
          <w:sz w:val="28"/>
          <w:szCs w:val="28"/>
        </w:rPr>
        <w:t>7.1.1水文与水利信息化发展现状</w:t>
      </w:r>
      <w:bookmarkEnd w:id="180"/>
    </w:p>
    <w:p w14:paraId="427B5D3A">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全区水利通讯设施和水利监测手段较薄弱，影响到水资源的合理开发利用和水利工程的科学有效运行。由于水利监测与水利通信基础设施建设的滞后，致使信息传递不及时、不畅通，应变能力差，在水资源利用与保护中，不能及时、全面地掌握信息，往往只有当事情发生了以后才采取措施造成工作中的被动。在信息资源综合的应用方面，没有建立起专业管理数据库，墒情、雨情站点少，水文观测、地下水观测、水保监测、水质监测覆盖面小。</w:t>
      </w:r>
    </w:p>
    <w:p w14:paraId="11B449DF">
      <w:pPr>
        <w:pStyle w:val="4"/>
        <w:widowControl/>
        <w:adjustRightInd w:val="0"/>
        <w:spacing w:before="0" w:after="0" w:line="360" w:lineRule="auto"/>
        <w:jc w:val="left"/>
        <w:rPr>
          <w:rFonts w:eastAsia="黑体" w:cs="Times New Roman"/>
          <w:b w:val="0"/>
          <w:bCs w:val="0"/>
          <w:kern w:val="0"/>
          <w:sz w:val="28"/>
          <w:szCs w:val="28"/>
        </w:rPr>
      </w:pPr>
      <w:bookmarkStart w:id="181" w:name="_Toc198652103"/>
      <w:r>
        <w:rPr>
          <w:rFonts w:hint="eastAsia" w:eastAsia="黑体" w:cs="Times New Roman"/>
          <w:b w:val="0"/>
          <w:bCs w:val="0"/>
          <w:kern w:val="0"/>
          <w:sz w:val="28"/>
          <w:szCs w:val="28"/>
        </w:rPr>
        <w:t>7.1.2可持续发展对水文与水利信息化发展的需求</w:t>
      </w:r>
      <w:bookmarkEnd w:id="181"/>
    </w:p>
    <w:p w14:paraId="73BED379">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随着水利工程不断加大建设，水利工程如何更好地发挥作用，水利监测手段优为重要。因此，加强水利通信基础设施建设，加强水文资源、水保、水质监测，建立水文基础数据库和水利工程管理数据库等专业管理数据库，是可持续发展对水文与水利信息化发展的需求。</w:t>
      </w:r>
    </w:p>
    <w:p w14:paraId="7AC3BA52">
      <w:pPr>
        <w:pStyle w:val="4"/>
        <w:widowControl/>
        <w:adjustRightInd w:val="0"/>
        <w:spacing w:before="0" w:after="0" w:line="360" w:lineRule="auto"/>
        <w:jc w:val="left"/>
        <w:rPr>
          <w:rFonts w:eastAsia="黑体" w:cs="Times New Roman"/>
          <w:b w:val="0"/>
          <w:bCs w:val="0"/>
          <w:kern w:val="0"/>
          <w:sz w:val="28"/>
          <w:szCs w:val="28"/>
        </w:rPr>
      </w:pPr>
      <w:bookmarkStart w:id="182" w:name="_Toc198652104"/>
      <w:r>
        <w:rPr>
          <w:rFonts w:hint="eastAsia" w:eastAsia="黑体" w:cs="Times New Roman"/>
          <w:b w:val="0"/>
          <w:bCs w:val="0"/>
          <w:kern w:val="0"/>
          <w:sz w:val="28"/>
          <w:szCs w:val="28"/>
        </w:rPr>
        <w:t>7.1.3水文与水利信息化规划总体布局和主要建设内容</w:t>
      </w:r>
      <w:bookmarkEnd w:id="182"/>
    </w:p>
    <w:p w14:paraId="2D40C0F6">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水利信息化是实现对水资源统一配置，统一调度，统一管理的重要技术基础和前提。九原区水利信息化建设还在起步阶段。充分利用现有的网络资源、组建九原区水利通信网，实现信息传输网络化、信息采集自动化，信息管理和处理智能化，提高防灾减灾、资源调配和环境保护的整体能力和办公自动化程度。规划建旱情墒情测试点20个，雨情讯情测报点20个，水保监测点10个，建立水利工程建设管理信息库和水利电子政务平台。</w:t>
      </w:r>
    </w:p>
    <w:p w14:paraId="2EEB8C5B">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规划在三湖河灌区、小型井机电井灌区建水质、水量、水位自动监测设备系统及观测井安装实时在线自动观测传输设备。对安全饮水工程实现饮水管网的智能管理与控制。</w:t>
      </w:r>
    </w:p>
    <w:p w14:paraId="0E5BC913">
      <w:pPr>
        <w:widowControl/>
        <w:adjustRightInd w:val="0"/>
        <w:ind w:firstLine="560" w:firstLineChars="200"/>
        <w:rPr>
          <w:rFonts w:cs="Times New Roman"/>
          <w:color w:val="000000" w:themeColor="text1"/>
          <w:sz w:val="28"/>
          <w:szCs w:val="28"/>
          <w14:textFill>
            <w14:solidFill>
              <w14:schemeClr w14:val="tx1"/>
            </w14:solidFill>
          </w14:textFill>
        </w:rPr>
        <w:sectPr>
          <w:headerReference r:id="rId17" w:type="default"/>
          <w:pgSz w:w="11906" w:h="16838"/>
          <w:pgMar w:top="1440" w:right="1800" w:bottom="1440" w:left="1800" w:header="851" w:footer="992" w:gutter="0"/>
          <w:cols w:space="425" w:num="1"/>
          <w:docGrid w:type="lines" w:linePitch="312" w:charSpace="0"/>
        </w:sectPr>
      </w:pPr>
      <w:r>
        <w:rPr>
          <w:rFonts w:hint="eastAsia" w:cs="Times New Roman"/>
          <w:color w:val="000000" w:themeColor="text1"/>
          <w:sz w:val="28"/>
          <w:szCs w:val="28"/>
          <w14:textFill>
            <w14:solidFill>
              <w14:schemeClr w14:val="tx1"/>
            </w14:solidFill>
          </w14:textFill>
        </w:rPr>
        <w:t>建立水资源实时监控系统，对地下水的水量、水位、水质进行监测，对地表水的水量、水质进行监测，及时准确掌握水资源利用情况、变化动态等情况，实现对水资源的正确评价和合理调度及有效控制的目的。监测手段采用水资源监控终端和GPRS/CDMA微功耗测终端。利用既有的GPRS/CDMA无线网络平台进行建设。</w:t>
      </w:r>
    </w:p>
    <w:p w14:paraId="20086819">
      <w:pPr>
        <w:widowControl/>
        <w:adjustRightInd w:val="0"/>
        <w:spacing w:line="240" w:lineRule="auto"/>
        <w:jc w:val="center"/>
        <w:rPr>
          <w:rFonts w:cs="Times New Roman"/>
          <w:b/>
          <w:bCs/>
          <w:color w:val="000000" w:themeColor="text1"/>
          <w:sz w:val="28"/>
          <w:szCs w:val="28"/>
          <w14:textFill>
            <w14:solidFill>
              <w14:schemeClr w14:val="tx1"/>
            </w14:solidFill>
          </w14:textFill>
        </w:rPr>
      </w:pPr>
      <w:r>
        <w:rPr>
          <w:rFonts w:hint="eastAsia" w:cs="Times New Roman"/>
          <w:b/>
          <w:bCs/>
          <w:color w:val="000000" w:themeColor="text1"/>
          <w:sz w:val="28"/>
          <w:szCs w:val="28"/>
          <w14:textFill>
            <w14:solidFill>
              <w14:schemeClr w14:val="tx1"/>
            </w14:solidFill>
          </w14:textFill>
        </w:rPr>
        <w:t>表7-1  水利智能业务应用及保障体系规划建设工程</w:t>
      </w:r>
    </w:p>
    <w:tbl>
      <w:tblPr>
        <w:tblStyle w:val="19"/>
        <w:tblW w:w="5000" w:type="pct"/>
        <w:tblInd w:w="0" w:type="dxa"/>
        <w:tblLayout w:type="fixed"/>
        <w:tblCellMar>
          <w:top w:w="0" w:type="dxa"/>
          <w:left w:w="108" w:type="dxa"/>
          <w:bottom w:w="0" w:type="dxa"/>
          <w:right w:w="108" w:type="dxa"/>
        </w:tblCellMar>
      </w:tblPr>
      <w:tblGrid>
        <w:gridCol w:w="715"/>
        <w:gridCol w:w="2881"/>
        <w:gridCol w:w="723"/>
        <w:gridCol w:w="4754"/>
        <w:gridCol w:w="1153"/>
        <w:gridCol w:w="1236"/>
        <w:gridCol w:w="924"/>
        <w:gridCol w:w="1009"/>
        <w:gridCol w:w="779"/>
      </w:tblGrid>
      <w:tr w14:paraId="563736D1">
        <w:tblPrEx>
          <w:tblCellMar>
            <w:top w:w="0" w:type="dxa"/>
            <w:left w:w="108" w:type="dxa"/>
            <w:bottom w:w="0" w:type="dxa"/>
            <w:right w:w="108" w:type="dxa"/>
          </w:tblCellMar>
        </w:tblPrEx>
        <w:trPr>
          <w:trHeight w:val="285" w:hRule="atLeast"/>
        </w:trPr>
        <w:tc>
          <w:tcPr>
            <w:tcW w:w="25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D84D90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序号</w:t>
            </w:r>
          </w:p>
        </w:tc>
        <w:tc>
          <w:tcPr>
            <w:tcW w:w="1016"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C867EE9">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项目分类及名称</w:t>
            </w:r>
          </w:p>
        </w:tc>
        <w:tc>
          <w:tcPr>
            <w:tcW w:w="25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EBFB8A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建设地点</w:t>
            </w:r>
          </w:p>
        </w:tc>
        <w:tc>
          <w:tcPr>
            <w:tcW w:w="1677"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C1B392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建设内容</w:t>
            </w:r>
          </w:p>
        </w:tc>
        <w:tc>
          <w:tcPr>
            <w:tcW w:w="1800" w:type="pct"/>
            <w:gridSpan w:val="5"/>
            <w:tcBorders>
              <w:top w:val="single" w:color="auto" w:sz="4" w:space="0"/>
              <w:left w:val="nil"/>
              <w:bottom w:val="single" w:color="auto" w:sz="4" w:space="0"/>
              <w:right w:val="single" w:color="auto" w:sz="4" w:space="0"/>
            </w:tcBorders>
            <w:shd w:val="clear" w:color="auto" w:fill="auto"/>
            <w:noWrap/>
            <w:vAlign w:val="center"/>
          </w:tcPr>
          <w:p w14:paraId="2B6B80C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投资（亿元）</w:t>
            </w:r>
          </w:p>
        </w:tc>
      </w:tr>
      <w:tr w14:paraId="19B104C9">
        <w:tblPrEx>
          <w:tblCellMar>
            <w:top w:w="0" w:type="dxa"/>
            <w:left w:w="108" w:type="dxa"/>
            <w:bottom w:w="0" w:type="dxa"/>
            <w:right w:w="108" w:type="dxa"/>
          </w:tblCellMar>
        </w:tblPrEx>
        <w:trPr>
          <w:trHeight w:val="285" w:hRule="atLeast"/>
        </w:trPr>
        <w:tc>
          <w:tcPr>
            <w:tcW w:w="252" w:type="pct"/>
            <w:vMerge w:val="continue"/>
            <w:tcBorders>
              <w:top w:val="single" w:color="auto" w:sz="4" w:space="0"/>
              <w:left w:val="single" w:color="auto" w:sz="4" w:space="0"/>
              <w:bottom w:val="single" w:color="auto" w:sz="4" w:space="0"/>
              <w:right w:val="single" w:color="auto" w:sz="4" w:space="0"/>
            </w:tcBorders>
            <w:vAlign w:val="center"/>
          </w:tcPr>
          <w:p w14:paraId="1F3ECD70">
            <w:pPr>
              <w:widowControl/>
              <w:adjustRightInd w:val="0"/>
              <w:spacing w:line="240" w:lineRule="auto"/>
              <w:jc w:val="left"/>
              <w:rPr>
                <w:rFonts w:cs="Times New Roman"/>
                <w:color w:val="000000"/>
                <w:kern w:val="0"/>
                <w:sz w:val="20"/>
                <w:szCs w:val="20"/>
              </w:rPr>
            </w:pPr>
          </w:p>
        </w:tc>
        <w:tc>
          <w:tcPr>
            <w:tcW w:w="1016" w:type="pct"/>
            <w:vMerge w:val="continue"/>
            <w:tcBorders>
              <w:top w:val="single" w:color="auto" w:sz="4" w:space="0"/>
              <w:left w:val="single" w:color="auto" w:sz="4" w:space="0"/>
              <w:bottom w:val="single" w:color="auto" w:sz="4" w:space="0"/>
              <w:right w:val="single" w:color="auto" w:sz="4" w:space="0"/>
            </w:tcBorders>
            <w:vAlign w:val="center"/>
          </w:tcPr>
          <w:p w14:paraId="475C0F8A">
            <w:pPr>
              <w:widowControl/>
              <w:adjustRightInd w:val="0"/>
              <w:spacing w:line="240" w:lineRule="auto"/>
              <w:jc w:val="left"/>
              <w:rPr>
                <w:rFonts w:cs="Times New Roman"/>
                <w:color w:val="000000"/>
                <w:kern w:val="0"/>
                <w:sz w:val="20"/>
                <w:szCs w:val="20"/>
              </w:rPr>
            </w:pPr>
          </w:p>
        </w:tc>
        <w:tc>
          <w:tcPr>
            <w:tcW w:w="255" w:type="pct"/>
            <w:vMerge w:val="continue"/>
            <w:tcBorders>
              <w:top w:val="single" w:color="auto" w:sz="4" w:space="0"/>
              <w:left w:val="single" w:color="auto" w:sz="4" w:space="0"/>
              <w:bottom w:val="single" w:color="auto" w:sz="4" w:space="0"/>
              <w:right w:val="single" w:color="auto" w:sz="4" w:space="0"/>
            </w:tcBorders>
            <w:vAlign w:val="center"/>
          </w:tcPr>
          <w:p w14:paraId="31CCF068">
            <w:pPr>
              <w:widowControl/>
              <w:adjustRightInd w:val="0"/>
              <w:spacing w:line="240" w:lineRule="auto"/>
              <w:jc w:val="left"/>
              <w:rPr>
                <w:rFonts w:cs="Times New Roman"/>
                <w:color w:val="000000"/>
                <w:kern w:val="0"/>
                <w:sz w:val="20"/>
                <w:szCs w:val="20"/>
              </w:rPr>
            </w:pPr>
          </w:p>
        </w:tc>
        <w:tc>
          <w:tcPr>
            <w:tcW w:w="1677" w:type="pct"/>
            <w:vMerge w:val="continue"/>
            <w:tcBorders>
              <w:top w:val="single" w:color="auto" w:sz="4" w:space="0"/>
              <w:left w:val="single" w:color="auto" w:sz="4" w:space="0"/>
              <w:bottom w:val="single" w:color="auto" w:sz="4" w:space="0"/>
              <w:right w:val="single" w:color="auto" w:sz="4" w:space="0"/>
            </w:tcBorders>
            <w:vAlign w:val="center"/>
          </w:tcPr>
          <w:p w14:paraId="1E2FA65E">
            <w:pPr>
              <w:widowControl/>
              <w:adjustRightInd w:val="0"/>
              <w:spacing w:line="240" w:lineRule="auto"/>
              <w:jc w:val="left"/>
              <w:rPr>
                <w:rFonts w:cs="Times New Roman"/>
                <w:color w:val="000000"/>
                <w:kern w:val="0"/>
                <w:sz w:val="20"/>
                <w:szCs w:val="20"/>
              </w:rPr>
            </w:pPr>
          </w:p>
        </w:tc>
        <w:tc>
          <w:tcPr>
            <w:tcW w:w="407" w:type="pct"/>
            <w:vMerge w:val="restart"/>
            <w:tcBorders>
              <w:top w:val="nil"/>
              <w:left w:val="single" w:color="auto" w:sz="4" w:space="0"/>
              <w:bottom w:val="single" w:color="auto" w:sz="4" w:space="0"/>
              <w:right w:val="single" w:color="auto" w:sz="4" w:space="0"/>
            </w:tcBorders>
            <w:shd w:val="clear" w:color="auto" w:fill="auto"/>
            <w:noWrap/>
            <w:vAlign w:val="center"/>
          </w:tcPr>
          <w:p w14:paraId="250E1CC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2024~2027年</w:t>
            </w:r>
          </w:p>
        </w:tc>
        <w:tc>
          <w:tcPr>
            <w:tcW w:w="436" w:type="pct"/>
            <w:vMerge w:val="restart"/>
            <w:tcBorders>
              <w:top w:val="nil"/>
              <w:left w:val="single" w:color="auto" w:sz="4" w:space="0"/>
              <w:bottom w:val="single" w:color="auto" w:sz="4" w:space="0"/>
              <w:right w:val="single" w:color="auto" w:sz="4" w:space="0"/>
            </w:tcBorders>
            <w:shd w:val="clear" w:color="auto" w:fill="auto"/>
            <w:noWrap/>
            <w:vAlign w:val="center"/>
          </w:tcPr>
          <w:p w14:paraId="29737DE0">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2028~2035年</w:t>
            </w:r>
          </w:p>
        </w:tc>
        <w:tc>
          <w:tcPr>
            <w:tcW w:w="326" w:type="pct"/>
            <w:vMerge w:val="restart"/>
            <w:tcBorders>
              <w:top w:val="nil"/>
              <w:left w:val="single" w:color="auto" w:sz="4" w:space="0"/>
              <w:bottom w:val="single" w:color="auto" w:sz="4" w:space="0"/>
              <w:right w:val="single" w:color="auto" w:sz="4" w:space="0"/>
            </w:tcBorders>
            <w:shd w:val="clear" w:color="auto" w:fill="auto"/>
            <w:noWrap/>
            <w:vAlign w:val="center"/>
          </w:tcPr>
          <w:p w14:paraId="4EB0C3F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2035年以后</w:t>
            </w:r>
          </w:p>
        </w:tc>
        <w:tc>
          <w:tcPr>
            <w:tcW w:w="631" w:type="pct"/>
            <w:gridSpan w:val="2"/>
            <w:tcBorders>
              <w:top w:val="single" w:color="auto" w:sz="4" w:space="0"/>
              <w:left w:val="nil"/>
              <w:bottom w:val="single" w:color="auto" w:sz="4" w:space="0"/>
              <w:right w:val="single" w:color="auto" w:sz="4" w:space="0"/>
            </w:tcBorders>
            <w:shd w:val="clear" w:color="auto" w:fill="auto"/>
            <w:noWrap/>
            <w:vAlign w:val="center"/>
          </w:tcPr>
          <w:p w14:paraId="6E5A4FB7">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合计</w:t>
            </w:r>
          </w:p>
        </w:tc>
      </w:tr>
      <w:tr w14:paraId="77429568">
        <w:tblPrEx>
          <w:tblCellMar>
            <w:top w:w="0" w:type="dxa"/>
            <w:left w:w="108" w:type="dxa"/>
            <w:bottom w:w="0" w:type="dxa"/>
            <w:right w:w="108" w:type="dxa"/>
          </w:tblCellMar>
        </w:tblPrEx>
        <w:trPr>
          <w:trHeight w:val="285" w:hRule="atLeast"/>
        </w:trPr>
        <w:tc>
          <w:tcPr>
            <w:tcW w:w="252" w:type="pct"/>
            <w:vMerge w:val="continue"/>
            <w:tcBorders>
              <w:top w:val="single" w:color="auto" w:sz="4" w:space="0"/>
              <w:left w:val="single" w:color="auto" w:sz="4" w:space="0"/>
              <w:bottom w:val="single" w:color="auto" w:sz="4" w:space="0"/>
              <w:right w:val="single" w:color="auto" w:sz="4" w:space="0"/>
            </w:tcBorders>
            <w:vAlign w:val="center"/>
          </w:tcPr>
          <w:p w14:paraId="37115CAD">
            <w:pPr>
              <w:widowControl/>
              <w:adjustRightInd w:val="0"/>
              <w:spacing w:line="240" w:lineRule="auto"/>
              <w:jc w:val="left"/>
              <w:rPr>
                <w:rFonts w:cs="Times New Roman"/>
                <w:color w:val="000000"/>
                <w:kern w:val="0"/>
                <w:sz w:val="20"/>
                <w:szCs w:val="20"/>
              </w:rPr>
            </w:pPr>
          </w:p>
        </w:tc>
        <w:tc>
          <w:tcPr>
            <w:tcW w:w="1016" w:type="pct"/>
            <w:vMerge w:val="continue"/>
            <w:tcBorders>
              <w:top w:val="single" w:color="auto" w:sz="4" w:space="0"/>
              <w:left w:val="single" w:color="auto" w:sz="4" w:space="0"/>
              <w:bottom w:val="single" w:color="auto" w:sz="4" w:space="0"/>
              <w:right w:val="single" w:color="auto" w:sz="4" w:space="0"/>
            </w:tcBorders>
            <w:vAlign w:val="center"/>
          </w:tcPr>
          <w:p w14:paraId="301D2188">
            <w:pPr>
              <w:widowControl/>
              <w:adjustRightInd w:val="0"/>
              <w:spacing w:line="240" w:lineRule="auto"/>
              <w:jc w:val="left"/>
              <w:rPr>
                <w:rFonts w:cs="Times New Roman"/>
                <w:color w:val="000000"/>
                <w:kern w:val="0"/>
                <w:sz w:val="20"/>
                <w:szCs w:val="20"/>
              </w:rPr>
            </w:pPr>
          </w:p>
        </w:tc>
        <w:tc>
          <w:tcPr>
            <w:tcW w:w="255" w:type="pct"/>
            <w:vMerge w:val="continue"/>
            <w:tcBorders>
              <w:top w:val="single" w:color="auto" w:sz="4" w:space="0"/>
              <w:left w:val="single" w:color="auto" w:sz="4" w:space="0"/>
              <w:bottom w:val="single" w:color="auto" w:sz="4" w:space="0"/>
              <w:right w:val="single" w:color="auto" w:sz="4" w:space="0"/>
            </w:tcBorders>
            <w:vAlign w:val="center"/>
          </w:tcPr>
          <w:p w14:paraId="689C1939">
            <w:pPr>
              <w:widowControl/>
              <w:adjustRightInd w:val="0"/>
              <w:spacing w:line="240" w:lineRule="auto"/>
              <w:jc w:val="left"/>
              <w:rPr>
                <w:rFonts w:cs="Times New Roman"/>
                <w:color w:val="000000"/>
                <w:kern w:val="0"/>
                <w:sz w:val="20"/>
                <w:szCs w:val="20"/>
              </w:rPr>
            </w:pPr>
          </w:p>
        </w:tc>
        <w:tc>
          <w:tcPr>
            <w:tcW w:w="1677" w:type="pct"/>
            <w:vMerge w:val="continue"/>
            <w:tcBorders>
              <w:top w:val="single" w:color="auto" w:sz="4" w:space="0"/>
              <w:left w:val="single" w:color="auto" w:sz="4" w:space="0"/>
              <w:bottom w:val="single" w:color="auto" w:sz="4" w:space="0"/>
              <w:right w:val="single" w:color="auto" w:sz="4" w:space="0"/>
            </w:tcBorders>
            <w:vAlign w:val="center"/>
          </w:tcPr>
          <w:p w14:paraId="47809019">
            <w:pPr>
              <w:widowControl/>
              <w:adjustRightInd w:val="0"/>
              <w:spacing w:line="240" w:lineRule="auto"/>
              <w:jc w:val="left"/>
              <w:rPr>
                <w:rFonts w:cs="Times New Roman"/>
                <w:color w:val="000000"/>
                <w:kern w:val="0"/>
                <w:sz w:val="20"/>
                <w:szCs w:val="20"/>
              </w:rPr>
            </w:pPr>
          </w:p>
        </w:tc>
        <w:tc>
          <w:tcPr>
            <w:tcW w:w="407" w:type="pct"/>
            <w:vMerge w:val="continue"/>
            <w:tcBorders>
              <w:top w:val="nil"/>
              <w:left w:val="single" w:color="auto" w:sz="4" w:space="0"/>
              <w:bottom w:val="single" w:color="auto" w:sz="4" w:space="0"/>
              <w:right w:val="single" w:color="auto" w:sz="4" w:space="0"/>
            </w:tcBorders>
            <w:vAlign w:val="center"/>
          </w:tcPr>
          <w:p w14:paraId="2A24FA9B">
            <w:pPr>
              <w:widowControl/>
              <w:adjustRightInd w:val="0"/>
              <w:spacing w:line="240" w:lineRule="auto"/>
              <w:jc w:val="left"/>
              <w:rPr>
                <w:rFonts w:cs="Times New Roman"/>
                <w:color w:val="000000"/>
                <w:kern w:val="0"/>
                <w:sz w:val="20"/>
                <w:szCs w:val="20"/>
              </w:rPr>
            </w:pPr>
          </w:p>
        </w:tc>
        <w:tc>
          <w:tcPr>
            <w:tcW w:w="436" w:type="pct"/>
            <w:vMerge w:val="continue"/>
            <w:tcBorders>
              <w:top w:val="nil"/>
              <w:left w:val="single" w:color="auto" w:sz="4" w:space="0"/>
              <w:bottom w:val="single" w:color="auto" w:sz="4" w:space="0"/>
              <w:right w:val="single" w:color="auto" w:sz="4" w:space="0"/>
            </w:tcBorders>
            <w:vAlign w:val="center"/>
          </w:tcPr>
          <w:p w14:paraId="67AED8E2">
            <w:pPr>
              <w:widowControl/>
              <w:adjustRightInd w:val="0"/>
              <w:spacing w:line="240" w:lineRule="auto"/>
              <w:jc w:val="left"/>
              <w:rPr>
                <w:rFonts w:cs="Times New Roman"/>
                <w:color w:val="000000"/>
                <w:kern w:val="0"/>
                <w:sz w:val="20"/>
                <w:szCs w:val="20"/>
              </w:rPr>
            </w:pPr>
          </w:p>
        </w:tc>
        <w:tc>
          <w:tcPr>
            <w:tcW w:w="326" w:type="pct"/>
            <w:vMerge w:val="continue"/>
            <w:tcBorders>
              <w:top w:val="nil"/>
              <w:left w:val="single" w:color="auto" w:sz="4" w:space="0"/>
              <w:bottom w:val="single" w:color="auto" w:sz="4" w:space="0"/>
              <w:right w:val="single" w:color="auto" w:sz="4" w:space="0"/>
            </w:tcBorders>
            <w:vAlign w:val="center"/>
          </w:tcPr>
          <w:p w14:paraId="39C3485E">
            <w:pPr>
              <w:widowControl/>
              <w:adjustRightInd w:val="0"/>
              <w:spacing w:line="240" w:lineRule="auto"/>
              <w:jc w:val="left"/>
              <w:rPr>
                <w:rFonts w:cs="Times New Roman"/>
                <w:color w:val="000000"/>
                <w:kern w:val="0"/>
                <w:sz w:val="20"/>
                <w:szCs w:val="20"/>
              </w:rPr>
            </w:pPr>
          </w:p>
        </w:tc>
        <w:tc>
          <w:tcPr>
            <w:tcW w:w="356" w:type="pct"/>
            <w:tcBorders>
              <w:top w:val="nil"/>
              <w:left w:val="nil"/>
              <w:bottom w:val="single" w:color="auto" w:sz="4" w:space="0"/>
              <w:right w:val="single" w:color="auto" w:sz="4" w:space="0"/>
            </w:tcBorders>
            <w:shd w:val="clear" w:color="auto" w:fill="auto"/>
            <w:noWrap/>
            <w:vAlign w:val="center"/>
          </w:tcPr>
          <w:p w14:paraId="13BC181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2035年以前</w:t>
            </w:r>
          </w:p>
        </w:tc>
        <w:tc>
          <w:tcPr>
            <w:tcW w:w="275" w:type="pct"/>
            <w:tcBorders>
              <w:top w:val="nil"/>
              <w:left w:val="nil"/>
              <w:bottom w:val="single" w:color="auto" w:sz="4" w:space="0"/>
              <w:right w:val="single" w:color="auto" w:sz="4" w:space="0"/>
            </w:tcBorders>
            <w:shd w:val="clear" w:color="auto" w:fill="auto"/>
            <w:noWrap/>
            <w:vAlign w:val="center"/>
          </w:tcPr>
          <w:p w14:paraId="31F3F67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总投资</w:t>
            </w:r>
          </w:p>
        </w:tc>
      </w:tr>
      <w:tr w14:paraId="1A466436">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506AABBE">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一</w:t>
            </w:r>
          </w:p>
        </w:tc>
        <w:tc>
          <w:tcPr>
            <w:tcW w:w="1016" w:type="pct"/>
            <w:tcBorders>
              <w:top w:val="nil"/>
              <w:left w:val="nil"/>
              <w:bottom w:val="single" w:color="auto" w:sz="4" w:space="0"/>
              <w:right w:val="single" w:color="auto" w:sz="4" w:space="0"/>
            </w:tcBorders>
            <w:shd w:val="clear" w:color="auto" w:fill="auto"/>
            <w:noWrap/>
            <w:vAlign w:val="center"/>
          </w:tcPr>
          <w:p w14:paraId="274B86B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信息化基础设施建设工程</w:t>
            </w:r>
          </w:p>
        </w:tc>
        <w:tc>
          <w:tcPr>
            <w:tcW w:w="255" w:type="pct"/>
            <w:tcBorders>
              <w:top w:val="nil"/>
              <w:left w:val="nil"/>
              <w:bottom w:val="single" w:color="auto" w:sz="4" w:space="0"/>
              <w:right w:val="single" w:color="auto" w:sz="4" w:space="0"/>
            </w:tcBorders>
            <w:shd w:val="clear" w:color="auto" w:fill="auto"/>
            <w:noWrap/>
            <w:vAlign w:val="center"/>
          </w:tcPr>
          <w:p w14:paraId="177B1902">
            <w:pPr>
              <w:widowControl/>
              <w:adjustRightInd w:val="0"/>
              <w:spacing w:line="240" w:lineRule="auto"/>
              <w:jc w:val="center"/>
              <w:rPr>
                <w:rFonts w:cs="Times New Roman"/>
                <w:color w:val="000000"/>
                <w:kern w:val="0"/>
                <w:sz w:val="20"/>
                <w:szCs w:val="20"/>
              </w:rPr>
            </w:pPr>
          </w:p>
        </w:tc>
        <w:tc>
          <w:tcPr>
            <w:tcW w:w="1677" w:type="pct"/>
            <w:tcBorders>
              <w:top w:val="nil"/>
              <w:left w:val="nil"/>
              <w:bottom w:val="single" w:color="auto" w:sz="4" w:space="0"/>
              <w:right w:val="single" w:color="auto" w:sz="4" w:space="0"/>
            </w:tcBorders>
            <w:shd w:val="clear" w:color="auto" w:fill="auto"/>
            <w:noWrap/>
            <w:vAlign w:val="center"/>
          </w:tcPr>
          <w:p w14:paraId="687B19FF">
            <w:pPr>
              <w:widowControl/>
              <w:adjustRightInd w:val="0"/>
              <w:spacing w:line="240" w:lineRule="auto"/>
              <w:jc w:val="center"/>
              <w:rPr>
                <w:rFonts w:cs="Times New Roman"/>
                <w:color w:val="000000"/>
                <w:kern w:val="0"/>
                <w:sz w:val="20"/>
                <w:szCs w:val="20"/>
              </w:rPr>
            </w:pPr>
          </w:p>
        </w:tc>
        <w:tc>
          <w:tcPr>
            <w:tcW w:w="407" w:type="pct"/>
            <w:tcBorders>
              <w:top w:val="nil"/>
              <w:left w:val="nil"/>
              <w:bottom w:val="single" w:color="auto" w:sz="4" w:space="0"/>
              <w:right w:val="single" w:color="auto" w:sz="4" w:space="0"/>
            </w:tcBorders>
            <w:shd w:val="clear" w:color="auto" w:fill="auto"/>
            <w:noWrap/>
            <w:vAlign w:val="center"/>
          </w:tcPr>
          <w:p w14:paraId="55A13549">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0.3</w:t>
            </w:r>
          </w:p>
        </w:tc>
        <w:tc>
          <w:tcPr>
            <w:tcW w:w="436" w:type="pct"/>
            <w:tcBorders>
              <w:top w:val="nil"/>
              <w:left w:val="nil"/>
              <w:bottom w:val="single" w:color="auto" w:sz="4" w:space="0"/>
              <w:right w:val="single" w:color="auto" w:sz="4" w:space="0"/>
            </w:tcBorders>
            <w:shd w:val="clear" w:color="auto" w:fill="auto"/>
            <w:noWrap/>
            <w:vAlign w:val="center"/>
          </w:tcPr>
          <w:p w14:paraId="24860FB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w:t>
            </w:r>
          </w:p>
        </w:tc>
        <w:tc>
          <w:tcPr>
            <w:tcW w:w="326" w:type="pct"/>
            <w:tcBorders>
              <w:top w:val="nil"/>
              <w:left w:val="nil"/>
              <w:bottom w:val="single" w:color="auto" w:sz="4" w:space="0"/>
              <w:right w:val="single" w:color="auto" w:sz="4" w:space="0"/>
            </w:tcBorders>
            <w:shd w:val="clear" w:color="auto" w:fill="auto"/>
            <w:noWrap/>
            <w:vAlign w:val="center"/>
          </w:tcPr>
          <w:p w14:paraId="46155298">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0.14</w:t>
            </w:r>
          </w:p>
        </w:tc>
        <w:tc>
          <w:tcPr>
            <w:tcW w:w="356" w:type="pct"/>
            <w:tcBorders>
              <w:top w:val="nil"/>
              <w:left w:val="nil"/>
              <w:bottom w:val="single" w:color="auto" w:sz="4" w:space="0"/>
              <w:right w:val="single" w:color="auto" w:sz="4" w:space="0"/>
            </w:tcBorders>
            <w:shd w:val="clear" w:color="auto" w:fill="auto"/>
            <w:noWrap/>
            <w:vAlign w:val="center"/>
          </w:tcPr>
          <w:p w14:paraId="3B0E61C4">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0.8</w:t>
            </w:r>
          </w:p>
        </w:tc>
        <w:tc>
          <w:tcPr>
            <w:tcW w:w="275" w:type="pct"/>
            <w:tcBorders>
              <w:top w:val="nil"/>
              <w:left w:val="nil"/>
              <w:bottom w:val="single" w:color="auto" w:sz="4" w:space="0"/>
              <w:right w:val="single" w:color="auto" w:sz="4" w:space="0"/>
            </w:tcBorders>
            <w:shd w:val="clear" w:color="auto" w:fill="auto"/>
            <w:noWrap/>
            <w:vAlign w:val="center"/>
          </w:tcPr>
          <w:p w14:paraId="31C98029">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0.94</w:t>
            </w:r>
          </w:p>
        </w:tc>
      </w:tr>
      <w:tr w14:paraId="5908596C">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197F31C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w:t>
            </w:r>
          </w:p>
        </w:tc>
        <w:tc>
          <w:tcPr>
            <w:tcW w:w="1016" w:type="pct"/>
            <w:tcBorders>
              <w:top w:val="nil"/>
              <w:left w:val="nil"/>
              <w:bottom w:val="single" w:color="auto" w:sz="4" w:space="0"/>
              <w:right w:val="single" w:color="auto" w:sz="4" w:space="0"/>
            </w:tcBorders>
            <w:shd w:val="clear" w:color="auto" w:fill="auto"/>
            <w:noWrap/>
            <w:vAlign w:val="center"/>
          </w:tcPr>
          <w:p w14:paraId="3FA46D30">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水利感知与信息网</w:t>
            </w:r>
          </w:p>
        </w:tc>
        <w:tc>
          <w:tcPr>
            <w:tcW w:w="255" w:type="pct"/>
            <w:tcBorders>
              <w:top w:val="nil"/>
              <w:left w:val="nil"/>
              <w:bottom w:val="single" w:color="auto" w:sz="4" w:space="0"/>
              <w:right w:val="single" w:color="auto" w:sz="4" w:space="0"/>
            </w:tcBorders>
            <w:shd w:val="clear" w:color="auto" w:fill="auto"/>
            <w:noWrap/>
            <w:vAlign w:val="center"/>
          </w:tcPr>
          <w:p w14:paraId="21FDAD7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河道</w:t>
            </w:r>
          </w:p>
        </w:tc>
        <w:tc>
          <w:tcPr>
            <w:tcW w:w="1677" w:type="pct"/>
            <w:tcBorders>
              <w:top w:val="nil"/>
              <w:left w:val="nil"/>
              <w:bottom w:val="single" w:color="auto" w:sz="4" w:space="0"/>
              <w:right w:val="single" w:color="auto" w:sz="4" w:space="0"/>
            </w:tcBorders>
            <w:shd w:val="clear" w:color="auto" w:fill="auto"/>
            <w:noWrap/>
            <w:vAlign w:val="center"/>
          </w:tcPr>
          <w:p w14:paraId="1BF5998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1.水位、雨量、工情、安全监测、水质、泥沙、积水等传统监测设备。</w:t>
            </w:r>
          </w:p>
        </w:tc>
        <w:tc>
          <w:tcPr>
            <w:tcW w:w="407" w:type="pct"/>
            <w:tcBorders>
              <w:top w:val="nil"/>
              <w:left w:val="nil"/>
              <w:bottom w:val="single" w:color="auto" w:sz="4" w:space="0"/>
              <w:right w:val="single" w:color="auto" w:sz="4" w:space="0"/>
            </w:tcBorders>
            <w:shd w:val="clear" w:color="auto" w:fill="auto"/>
            <w:noWrap/>
            <w:vAlign w:val="center"/>
          </w:tcPr>
          <w:p w14:paraId="3810D42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0.18</w:t>
            </w:r>
          </w:p>
        </w:tc>
        <w:tc>
          <w:tcPr>
            <w:tcW w:w="436" w:type="pct"/>
            <w:tcBorders>
              <w:top w:val="nil"/>
              <w:left w:val="nil"/>
              <w:bottom w:val="single" w:color="auto" w:sz="4" w:space="0"/>
              <w:right w:val="single" w:color="auto" w:sz="4" w:space="0"/>
            </w:tcBorders>
            <w:shd w:val="clear" w:color="auto" w:fill="auto"/>
            <w:noWrap/>
            <w:vAlign w:val="center"/>
          </w:tcPr>
          <w:p w14:paraId="78A871E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0.37</w:t>
            </w:r>
          </w:p>
        </w:tc>
        <w:tc>
          <w:tcPr>
            <w:tcW w:w="326" w:type="pct"/>
            <w:tcBorders>
              <w:top w:val="nil"/>
              <w:left w:val="nil"/>
              <w:bottom w:val="single" w:color="auto" w:sz="4" w:space="0"/>
              <w:right w:val="single" w:color="auto" w:sz="4" w:space="0"/>
            </w:tcBorders>
            <w:shd w:val="clear" w:color="auto" w:fill="auto"/>
            <w:noWrap/>
            <w:vAlign w:val="center"/>
          </w:tcPr>
          <w:p w14:paraId="7127780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w:t>
            </w:r>
          </w:p>
        </w:tc>
        <w:tc>
          <w:tcPr>
            <w:tcW w:w="356" w:type="pct"/>
            <w:tcBorders>
              <w:top w:val="nil"/>
              <w:left w:val="nil"/>
              <w:bottom w:val="single" w:color="auto" w:sz="4" w:space="0"/>
              <w:right w:val="single" w:color="auto" w:sz="4" w:space="0"/>
            </w:tcBorders>
            <w:shd w:val="clear" w:color="auto" w:fill="auto"/>
            <w:noWrap/>
            <w:vAlign w:val="center"/>
          </w:tcPr>
          <w:p w14:paraId="12355461">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0.55</w:t>
            </w:r>
          </w:p>
        </w:tc>
        <w:tc>
          <w:tcPr>
            <w:tcW w:w="275" w:type="pct"/>
            <w:tcBorders>
              <w:top w:val="nil"/>
              <w:left w:val="nil"/>
              <w:bottom w:val="single" w:color="auto" w:sz="4" w:space="0"/>
              <w:right w:val="single" w:color="auto" w:sz="4" w:space="0"/>
            </w:tcBorders>
            <w:shd w:val="clear" w:color="auto" w:fill="auto"/>
            <w:noWrap/>
            <w:vAlign w:val="center"/>
          </w:tcPr>
          <w:p w14:paraId="22F2D5FF">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0.65</w:t>
            </w:r>
          </w:p>
        </w:tc>
      </w:tr>
      <w:tr w14:paraId="53E3C8A5">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305B708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w:t>
            </w:r>
          </w:p>
        </w:tc>
        <w:tc>
          <w:tcPr>
            <w:tcW w:w="1016" w:type="pct"/>
            <w:tcBorders>
              <w:top w:val="nil"/>
              <w:left w:val="nil"/>
              <w:bottom w:val="single" w:color="auto" w:sz="4" w:space="0"/>
              <w:right w:val="single" w:color="auto" w:sz="4" w:space="0"/>
            </w:tcBorders>
            <w:shd w:val="clear" w:color="auto" w:fill="auto"/>
            <w:noWrap/>
            <w:vAlign w:val="center"/>
          </w:tcPr>
          <w:p w14:paraId="3EF7F0C3">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水利信息网</w:t>
            </w:r>
          </w:p>
        </w:tc>
        <w:tc>
          <w:tcPr>
            <w:tcW w:w="255" w:type="pct"/>
            <w:tcBorders>
              <w:top w:val="nil"/>
              <w:left w:val="nil"/>
              <w:bottom w:val="single" w:color="auto" w:sz="4" w:space="0"/>
              <w:right w:val="single" w:color="auto" w:sz="4" w:space="0"/>
            </w:tcBorders>
            <w:shd w:val="clear" w:color="auto" w:fill="auto"/>
            <w:noWrap/>
            <w:vAlign w:val="center"/>
          </w:tcPr>
          <w:p w14:paraId="48DC31E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4272FBDA">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构建市县两级水利信息网。</w:t>
            </w:r>
          </w:p>
        </w:tc>
        <w:tc>
          <w:tcPr>
            <w:tcW w:w="407" w:type="pct"/>
            <w:tcBorders>
              <w:top w:val="nil"/>
              <w:left w:val="nil"/>
              <w:bottom w:val="single" w:color="auto" w:sz="4" w:space="0"/>
              <w:right w:val="single" w:color="auto" w:sz="4" w:space="0"/>
            </w:tcBorders>
            <w:shd w:val="clear" w:color="auto" w:fill="auto"/>
            <w:noWrap/>
            <w:vAlign w:val="center"/>
          </w:tcPr>
          <w:p w14:paraId="5034B5FB">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0.04</w:t>
            </w:r>
          </w:p>
        </w:tc>
        <w:tc>
          <w:tcPr>
            <w:tcW w:w="436" w:type="pct"/>
            <w:tcBorders>
              <w:top w:val="nil"/>
              <w:left w:val="nil"/>
              <w:bottom w:val="single" w:color="auto" w:sz="4" w:space="0"/>
              <w:right w:val="single" w:color="auto" w:sz="4" w:space="0"/>
            </w:tcBorders>
            <w:shd w:val="clear" w:color="auto" w:fill="auto"/>
            <w:noWrap/>
            <w:vAlign w:val="center"/>
          </w:tcPr>
          <w:p w14:paraId="11364B9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0.08</w:t>
            </w:r>
          </w:p>
        </w:tc>
        <w:tc>
          <w:tcPr>
            <w:tcW w:w="326" w:type="pct"/>
            <w:tcBorders>
              <w:top w:val="nil"/>
              <w:left w:val="nil"/>
              <w:bottom w:val="single" w:color="auto" w:sz="4" w:space="0"/>
              <w:right w:val="single" w:color="auto" w:sz="4" w:space="0"/>
            </w:tcBorders>
            <w:shd w:val="clear" w:color="auto" w:fill="auto"/>
            <w:noWrap/>
            <w:vAlign w:val="center"/>
          </w:tcPr>
          <w:p w14:paraId="6AFE4E18">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0.02</w:t>
            </w:r>
          </w:p>
        </w:tc>
        <w:tc>
          <w:tcPr>
            <w:tcW w:w="356" w:type="pct"/>
            <w:tcBorders>
              <w:top w:val="nil"/>
              <w:left w:val="nil"/>
              <w:bottom w:val="single" w:color="auto" w:sz="4" w:space="0"/>
              <w:right w:val="single" w:color="auto" w:sz="4" w:space="0"/>
            </w:tcBorders>
            <w:shd w:val="clear" w:color="auto" w:fill="auto"/>
            <w:noWrap/>
            <w:vAlign w:val="center"/>
          </w:tcPr>
          <w:p w14:paraId="3906ED0C">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0.12</w:t>
            </w:r>
          </w:p>
        </w:tc>
        <w:tc>
          <w:tcPr>
            <w:tcW w:w="275" w:type="pct"/>
            <w:tcBorders>
              <w:top w:val="nil"/>
              <w:left w:val="nil"/>
              <w:bottom w:val="single" w:color="auto" w:sz="4" w:space="0"/>
              <w:right w:val="single" w:color="auto" w:sz="4" w:space="0"/>
            </w:tcBorders>
            <w:shd w:val="clear" w:color="auto" w:fill="auto"/>
            <w:noWrap/>
            <w:vAlign w:val="center"/>
          </w:tcPr>
          <w:p w14:paraId="59C0C8CA">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0.14</w:t>
            </w:r>
          </w:p>
        </w:tc>
      </w:tr>
      <w:tr w14:paraId="5B192139">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649544EB">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3</w:t>
            </w:r>
          </w:p>
        </w:tc>
        <w:tc>
          <w:tcPr>
            <w:tcW w:w="1016" w:type="pct"/>
            <w:tcBorders>
              <w:top w:val="nil"/>
              <w:left w:val="nil"/>
              <w:bottom w:val="single" w:color="auto" w:sz="4" w:space="0"/>
              <w:right w:val="single" w:color="auto" w:sz="4" w:space="0"/>
            </w:tcBorders>
            <w:shd w:val="clear" w:color="auto" w:fill="auto"/>
            <w:noWrap/>
            <w:vAlign w:val="center"/>
          </w:tcPr>
          <w:p w14:paraId="4D81E98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水利云与运行保障环境</w:t>
            </w:r>
          </w:p>
        </w:tc>
        <w:tc>
          <w:tcPr>
            <w:tcW w:w="255" w:type="pct"/>
            <w:tcBorders>
              <w:top w:val="nil"/>
              <w:left w:val="nil"/>
              <w:bottom w:val="single" w:color="auto" w:sz="4" w:space="0"/>
              <w:right w:val="single" w:color="auto" w:sz="4" w:space="0"/>
            </w:tcBorders>
            <w:shd w:val="clear" w:color="auto" w:fill="auto"/>
            <w:noWrap/>
            <w:vAlign w:val="center"/>
          </w:tcPr>
          <w:p w14:paraId="0BE99B9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1C01DF3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1.市、县两级会商中心、机房等节点保障环境。</w:t>
            </w:r>
          </w:p>
        </w:tc>
        <w:tc>
          <w:tcPr>
            <w:tcW w:w="407" w:type="pct"/>
            <w:tcBorders>
              <w:top w:val="nil"/>
              <w:left w:val="nil"/>
              <w:bottom w:val="single" w:color="auto" w:sz="4" w:space="0"/>
              <w:right w:val="single" w:color="auto" w:sz="4" w:space="0"/>
            </w:tcBorders>
            <w:shd w:val="clear" w:color="auto" w:fill="auto"/>
            <w:noWrap/>
            <w:vAlign w:val="center"/>
          </w:tcPr>
          <w:p w14:paraId="0EDE3800">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0.02</w:t>
            </w:r>
          </w:p>
        </w:tc>
        <w:tc>
          <w:tcPr>
            <w:tcW w:w="436" w:type="pct"/>
            <w:tcBorders>
              <w:top w:val="nil"/>
              <w:left w:val="nil"/>
              <w:bottom w:val="single" w:color="auto" w:sz="4" w:space="0"/>
              <w:right w:val="single" w:color="auto" w:sz="4" w:space="0"/>
            </w:tcBorders>
            <w:shd w:val="clear" w:color="auto" w:fill="auto"/>
            <w:noWrap/>
            <w:vAlign w:val="center"/>
          </w:tcPr>
          <w:p w14:paraId="7E170FBE">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0.05</w:t>
            </w:r>
          </w:p>
        </w:tc>
        <w:tc>
          <w:tcPr>
            <w:tcW w:w="326" w:type="pct"/>
            <w:tcBorders>
              <w:top w:val="nil"/>
              <w:left w:val="nil"/>
              <w:bottom w:val="single" w:color="auto" w:sz="4" w:space="0"/>
              <w:right w:val="single" w:color="auto" w:sz="4" w:space="0"/>
            </w:tcBorders>
            <w:shd w:val="clear" w:color="auto" w:fill="auto"/>
            <w:noWrap/>
            <w:vAlign w:val="center"/>
          </w:tcPr>
          <w:p w14:paraId="55C3F19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0.02</w:t>
            </w:r>
          </w:p>
        </w:tc>
        <w:tc>
          <w:tcPr>
            <w:tcW w:w="356" w:type="pct"/>
            <w:tcBorders>
              <w:top w:val="nil"/>
              <w:left w:val="nil"/>
              <w:bottom w:val="single" w:color="auto" w:sz="4" w:space="0"/>
              <w:right w:val="single" w:color="auto" w:sz="4" w:space="0"/>
            </w:tcBorders>
            <w:shd w:val="clear" w:color="auto" w:fill="auto"/>
            <w:noWrap/>
            <w:vAlign w:val="center"/>
          </w:tcPr>
          <w:p w14:paraId="59193581">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0.07</w:t>
            </w:r>
          </w:p>
        </w:tc>
        <w:tc>
          <w:tcPr>
            <w:tcW w:w="275" w:type="pct"/>
            <w:tcBorders>
              <w:top w:val="nil"/>
              <w:left w:val="nil"/>
              <w:bottom w:val="single" w:color="auto" w:sz="4" w:space="0"/>
              <w:right w:val="single" w:color="auto" w:sz="4" w:space="0"/>
            </w:tcBorders>
            <w:shd w:val="clear" w:color="auto" w:fill="auto"/>
            <w:noWrap/>
            <w:vAlign w:val="center"/>
          </w:tcPr>
          <w:p w14:paraId="3726806A">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0.09</w:t>
            </w:r>
          </w:p>
        </w:tc>
      </w:tr>
      <w:tr w14:paraId="7E9716C7">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6E1C62D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二</w:t>
            </w:r>
          </w:p>
        </w:tc>
        <w:tc>
          <w:tcPr>
            <w:tcW w:w="1016" w:type="pct"/>
            <w:tcBorders>
              <w:top w:val="nil"/>
              <w:left w:val="nil"/>
              <w:bottom w:val="single" w:color="auto" w:sz="4" w:space="0"/>
              <w:right w:val="single" w:color="auto" w:sz="4" w:space="0"/>
            </w:tcBorders>
            <w:shd w:val="clear" w:color="auto" w:fill="auto"/>
            <w:noWrap/>
            <w:vAlign w:val="center"/>
          </w:tcPr>
          <w:p w14:paraId="5207E75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数据融合中心建设工程</w:t>
            </w:r>
          </w:p>
        </w:tc>
        <w:tc>
          <w:tcPr>
            <w:tcW w:w="255" w:type="pct"/>
            <w:tcBorders>
              <w:top w:val="nil"/>
              <w:left w:val="nil"/>
              <w:bottom w:val="single" w:color="auto" w:sz="4" w:space="0"/>
              <w:right w:val="single" w:color="auto" w:sz="4" w:space="0"/>
            </w:tcBorders>
            <w:shd w:val="clear" w:color="auto" w:fill="auto"/>
            <w:noWrap/>
            <w:vAlign w:val="center"/>
          </w:tcPr>
          <w:p w14:paraId="14428804">
            <w:pPr>
              <w:widowControl/>
              <w:adjustRightInd w:val="0"/>
              <w:spacing w:line="240" w:lineRule="auto"/>
              <w:jc w:val="center"/>
              <w:rPr>
                <w:rFonts w:cs="Times New Roman"/>
                <w:color w:val="000000"/>
                <w:kern w:val="0"/>
                <w:sz w:val="20"/>
                <w:szCs w:val="20"/>
              </w:rPr>
            </w:pPr>
          </w:p>
        </w:tc>
        <w:tc>
          <w:tcPr>
            <w:tcW w:w="1677" w:type="pct"/>
            <w:tcBorders>
              <w:top w:val="nil"/>
              <w:left w:val="nil"/>
              <w:bottom w:val="single" w:color="auto" w:sz="4" w:space="0"/>
              <w:right w:val="single" w:color="auto" w:sz="4" w:space="0"/>
            </w:tcBorders>
            <w:shd w:val="clear" w:color="auto" w:fill="auto"/>
            <w:noWrap/>
            <w:vAlign w:val="center"/>
          </w:tcPr>
          <w:p w14:paraId="5768B6A7">
            <w:pPr>
              <w:widowControl/>
              <w:adjustRightInd w:val="0"/>
              <w:spacing w:line="240" w:lineRule="auto"/>
              <w:jc w:val="center"/>
              <w:rPr>
                <w:rFonts w:cs="Times New Roman"/>
                <w:color w:val="000000"/>
                <w:kern w:val="0"/>
                <w:sz w:val="20"/>
                <w:szCs w:val="20"/>
              </w:rPr>
            </w:pPr>
          </w:p>
        </w:tc>
        <w:tc>
          <w:tcPr>
            <w:tcW w:w="407" w:type="pct"/>
            <w:tcBorders>
              <w:top w:val="nil"/>
              <w:left w:val="nil"/>
              <w:bottom w:val="single" w:color="auto" w:sz="4" w:space="0"/>
              <w:right w:val="single" w:color="auto" w:sz="4" w:space="0"/>
            </w:tcBorders>
            <w:shd w:val="clear" w:color="auto" w:fill="auto"/>
            <w:noWrap/>
            <w:vAlign w:val="center"/>
          </w:tcPr>
          <w:p w14:paraId="6733FD28">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0.06</w:t>
            </w:r>
          </w:p>
        </w:tc>
        <w:tc>
          <w:tcPr>
            <w:tcW w:w="436" w:type="pct"/>
            <w:tcBorders>
              <w:top w:val="nil"/>
              <w:left w:val="nil"/>
              <w:bottom w:val="single" w:color="auto" w:sz="4" w:space="0"/>
              <w:right w:val="single" w:color="auto" w:sz="4" w:space="0"/>
            </w:tcBorders>
            <w:shd w:val="clear" w:color="auto" w:fill="auto"/>
            <w:noWrap/>
            <w:vAlign w:val="center"/>
          </w:tcPr>
          <w:p w14:paraId="5083D53A">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0.19</w:t>
            </w:r>
          </w:p>
        </w:tc>
        <w:tc>
          <w:tcPr>
            <w:tcW w:w="326" w:type="pct"/>
            <w:tcBorders>
              <w:top w:val="nil"/>
              <w:left w:val="nil"/>
              <w:bottom w:val="single" w:color="auto" w:sz="4" w:space="0"/>
              <w:right w:val="single" w:color="auto" w:sz="4" w:space="0"/>
            </w:tcBorders>
            <w:shd w:val="clear" w:color="auto" w:fill="auto"/>
            <w:noWrap/>
            <w:vAlign w:val="center"/>
          </w:tcPr>
          <w:p w14:paraId="6C97E8E9">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w:t>
            </w:r>
          </w:p>
        </w:tc>
        <w:tc>
          <w:tcPr>
            <w:tcW w:w="356" w:type="pct"/>
            <w:tcBorders>
              <w:top w:val="nil"/>
              <w:left w:val="nil"/>
              <w:bottom w:val="single" w:color="auto" w:sz="4" w:space="0"/>
              <w:right w:val="single" w:color="auto" w:sz="4" w:space="0"/>
            </w:tcBorders>
            <w:shd w:val="clear" w:color="auto" w:fill="auto"/>
            <w:noWrap/>
            <w:vAlign w:val="center"/>
          </w:tcPr>
          <w:p w14:paraId="1ACF207E">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0.25</w:t>
            </w:r>
          </w:p>
        </w:tc>
        <w:tc>
          <w:tcPr>
            <w:tcW w:w="275" w:type="pct"/>
            <w:tcBorders>
              <w:top w:val="nil"/>
              <w:left w:val="nil"/>
              <w:bottom w:val="single" w:color="auto" w:sz="4" w:space="0"/>
              <w:right w:val="single" w:color="auto" w:sz="4" w:space="0"/>
            </w:tcBorders>
            <w:shd w:val="clear" w:color="auto" w:fill="auto"/>
            <w:noWrap/>
            <w:vAlign w:val="center"/>
          </w:tcPr>
          <w:p w14:paraId="171E4057">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0.75</w:t>
            </w:r>
          </w:p>
        </w:tc>
      </w:tr>
      <w:tr w14:paraId="006D2E5C">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0551D3F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w:t>
            </w:r>
          </w:p>
        </w:tc>
        <w:tc>
          <w:tcPr>
            <w:tcW w:w="1016" w:type="pct"/>
            <w:tcBorders>
              <w:top w:val="nil"/>
              <w:left w:val="nil"/>
              <w:bottom w:val="single" w:color="auto" w:sz="4" w:space="0"/>
              <w:right w:val="single" w:color="auto" w:sz="4" w:space="0"/>
            </w:tcBorders>
            <w:shd w:val="clear" w:color="auto" w:fill="auto"/>
            <w:noWrap/>
            <w:vAlign w:val="center"/>
          </w:tcPr>
          <w:p w14:paraId="2F3CA3F0">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市县两级共建共享的智慧</w:t>
            </w:r>
          </w:p>
        </w:tc>
        <w:tc>
          <w:tcPr>
            <w:tcW w:w="255" w:type="pct"/>
            <w:tcBorders>
              <w:top w:val="nil"/>
              <w:left w:val="nil"/>
              <w:bottom w:val="single" w:color="auto" w:sz="4" w:space="0"/>
              <w:right w:val="single" w:color="auto" w:sz="4" w:space="0"/>
            </w:tcBorders>
            <w:shd w:val="clear" w:color="auto" w:fill="auto"/>
            <w:noWrap/>
            <w:vAlign w:val="center"/>
          </w:tcPr>
          <w:p w14:paraId="4469EA6E">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2E53594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1.数据底板建设，包括数据资源、数据模型和数据引擎。</w:t>
            </w:r>
          </w:p>
        </w:tc>
        <w:tc>
          <w:tcPr>
            <w:tcW w:w="407" w:type="pct"/>
            <w:tcBorders>
              <w:top w:val="nil"/>
              <w:left w:val="nil"/>
              <w:bottom w:val="single" w:color="auto" w:sz="4" w:space="0"/>
              <w:right w:val="single" w:color="auto" w:sz="4" w:space="0"/>
            </w:tcBorders>
            <w:shd w:val="clear" w:color="auto" w:fill="auto"/>
            <w:noWrap/>
            <w:vAlign w:val="center"/>
          </w:tcPr>
          <w:p w14:paraId="4E95A28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0.06</w:t>
            </w:r>
          </w:p>
        </w:tc>
        <w:tc>
          <w:tcPr>
            <w:tcW w:w="436" w:type="pct"/>
            <w:tcBorders>
              <w:top w:val="nil"/>
              <w:left w:val="nil"/>
              <w:bottom w:val="single" w:color="auto" w:sz="4" w:space="0"/>
              <w:right w:val="single" w:color="auto" w:sz="4" w:space="0"/>
            </w:tcBorders>
            <w:shd w:val="clear" w:color="auto" w:fill="auto"/>
            <w:noWrap/>
            <w:vAlign w:val="center"/>
          </w:tcPr>
          <w:p w14:paraId="5D8A1BA5">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0.19</w:t>
            </w:r>
          </w:p>
        </w:tc>
        <w:tc>
          <w:tcPr>
            <w:tcW w:w="326" w:type="pct"/>
            <w:tcBorders>
              <w:top w:val="nil"/>
              <w:left w:val="nil"/>
              <w:bottom w:val="single" w:color="auto" w:sz="4" w:space="0"/>
              <w:right w:val="single" w:color="auto" w:sz="4" w:space="0"/>
            </w:tcBorders>
            <w:shd w:val="clear" w:color="auto" w:fill="auto"/>
            <w:noWrap/>
            <w:vAlign w:val="center"/>
          </w:tcPr>
          <w:p w14:paraId="16535EAA">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w:t>
            </w:r>
          </w:p>
        </w:tc>
        <w:tc>
          <w:tcPr>
            <w:tcW w:w="356" w:type="pct"/>
            <w:tcBorders>
              <w:top w:val="nil"/>
              <w:left w:val="nil"/>
              <w:bottom w:val="single" w:color="auto" w:sz="4" w:space="0"/>
              <w:right w:val="single" w:color="auto" w:sz="4" w:space="0"/>
            </w:tcBorders>
            <w:shd w:val="clear" w:color="auto" w:fill="auto"/>
            <w:noWrap/>
            <w:vAlign w:val="center"/>
          </w:tcPr>
          <w:p w14:paraId="17634B72">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0.25</w:t>
            </w:r>
          </w:p>
        </w:tc>
        <w:tc>
          <w:tcPr>
            <w:tcW w:w="275" w:type="pct"/>
            <w:tcBorders>
              <w:top w:val="nil"/>
              <w:left w:val="nil"/>
              <w:bottom w:val="single" w:color="auto" w:sz="4" w:space="0"/>
              <w:right w:val="single" w:color="auto" w:sz="4" w:space="0"/>
            </w:tcBorders>
            <w:shd w:val="clear" w:color="auto" w:fill="auto"/>
            <w:noWrap/>
            <w:vAlign w:val="center"/>
          </w:tcPr>
          <w:p w14:paraId="575203EB">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0.75</w:t>
            </w:r>
          </w:p>
        </w:tc>
      </w:tr>
      <w:tr w14:paraId="282CE10D">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779826AE">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三</w:t>
            </w:r>
          </w:p>
        </w:tc>
        <w:tc>
          <w:tcPr>
            <w:tcW w:w="1016" w:type="pct"/>
            <w:tcBorders>
              <w:top w:val="nil"/>
              <w:left w:val="nil"/>
              <w:bottom w:val="single" w:color="auto" w:sz="4" w:space="0"/>
              <w:right w:val="single" w:color="auto" w:sz="4" w:space="0"/>
            </w:tcBorders>
            <w:shd w:val="clear" w:color="auto" w:fill="auto"/>
            <w:noWrap/>
            <w:vAlign w:val="center"/>
          </w:tcPr>
          <w:p w14:paraId="2310E84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智能业务应用及保障体系</w:t>
            </w:r>
          </w:p>
        </w:tc>
        <w:tc>
          <w:tcPr>
            <w:tcW w:w="255" w:type="pct"/>
            <w:tcBorders>
              <w:top w:val="nil"/>
              <w:left w:val="nil"/>
              <w:bottom w:val="single" w:color="auto" w:sz="4" w:space="0"/>
              <w:right w:val="single" w:color="auto" w:sz="4" w:space="0"/>
            </w:tcBorders>
            <w:shd w:val="clear" w:color="auto" w:fill="auto"/>
            <w:noWrap/>
            <w:vAlign w:val="center"/>
          </w:tcPr>
          <w:p w14:paraId="5AACF0E5">
            <w:pPr>
              <w:widowControl/>
              <w:adjustRightInd w:val="0"/>
              <w:spacing w:line="240" w:lineRule="auto"/>
              <w:jc w:val="center"/>
              <w:rPr>
                <w:rFonts w:cs="Times New Roman"/>
                <w:color w:val="000000"/>
                <w:kern w:val="0"/>
                <w:sz w:val="20"/>
                <w:szCs w:val="20"/>
              </w:rPr>
            </w:pPr>
          </w:p>
        </w:tc>
        <w:tc>
          <w:tcPr>
            <w:tcW w:w="1677" w:type="pct"/>
            <w:tcBorders>
              <w:top w:val="nil"/>
              <w:left w:val="nil"/>
              <w:bottom w:val="single" w:color="auto" w:sz="4" w:space="0"/>
              <w:right w:val="single" w:color="auto" w:sz="4" w:space="0"/>
            </w:tcBorders>
            <w:shd w:val="clear" w:color="auto" w:fill="auto"/>
            <w:noWrap/>
            <w:vAlign w:val="center"/>
          </w:tcPr>
          <w:p w14:paraId="37A264FF">
            <w:pPr>
              <w:widowControl/>
              <w:adjustRightInd w:val="0"/>
              <w:spacing w:line="240" w:lineRule="auto"/>
              <w:jc w:val="center"/>
              <w:rPr>
                <w:rFonts w:cs="Times New Roman"/>
                <w:color w:val="000000"/>
                <w:kern w:val="0"/>
                <w:sz w:val="20"/>
                <w:szCs w:val="20"/>
              </w:rPr>
            </w:pPr>
          </w:p>
        </w:tc>
        <w:tc>
          <w:tcPr>
            <w:tcW w:w="407" w:type="pct"/>
            <w:tcBorders>
              <w:top w:val="nil"/>
              <w:left w:val="nil"/>
              <w:bottom w:val="single" w:color="auto" w:sz="4" w:space="0"/>
              <w:right w:val="single" w:color="auto" w:sz="4" w:space="0"/>
            </w:tcBorders>
            <w:shd w:val="clear" w:color="auto" w:fill="auto"/>
            <w:noWrap/>
            <w:vAlign w:val="center"/>
          </w:tcPr>
          <w:p w14:paraId="6C096260">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0.25</w:t>
            </w:r>
          </w:p>
        </w:tc>
        <w:tc>
          <w:tcPr>
            <w:tcW w:w="436" w:type="pct"/>
            <w:tcBorders>
              <w:top w:val="nil"/>
              <w:left w:val="nil"/>
              <w:bottom w:val="single" w:color="auto" w:sz="4" w:space="0"/>
              <w:right w:val="single" w:color="auto" w:sz="4" w:space="0"/>
            </w:tcBorders>
            <w:shd w:val="clear" w:color="auto" w:fill="auto"/>
            <w:noWrap/>
            <w:vAlign w:val="center"/>
          </w:tcPr>
          <w:p w14:paraId="3F0FF19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1.04</w:t>
            </w:r>
          </w:p>
        </w:tc>
        <w:tc>
          <w:tcPr>
            <w:tcW w:w="326" w:type="pct"/>
            <w:tcBorders>
              <w:top w:val="nil"/>
              <w:left w:val="nil"/>
              <w:bottom w:val="single" w:color="auto" w:sz="4" w:space="0"/>
              <w:right w:val="single" w:color="auto" w:sz="4" w:space="0"/>
            </w:tcBorders>
            <w:shd w:val="clear" w:color="auto" w:fill="auto"/>
            <w:noWrap/>
            <w:vAlign w:val="center"/>
          </w:tcPr>
          <w:p w14:paraId="61B4EDD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2.2</w:t>
            </w:r>
          </w:p>
        </w:tc>
        <w:tc>
          <w:tcPr>
            <w:tcW w:w="356" w:type="pct"/>
            <w:tcBorders>
              <w:top w:val="nil"/>
              <w:left w:val="nil"/>
              <w:bottom w:val="single" w:color="auto" w:sz="4" w:space="0"/>
              <w:right w:val="single" w:color="auto" w:sz="4" w:space="0"/>
            </w:tcBorders>
            <w:shd w:val="clear" w:color="auto" w:fill="auto"/>
            <w:noWrap/>
            <w:vAlign w:val="center"/>
          </w:tcPr>
          <w:p w14:paraId="75167C0B">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1.29</w:t>
            </w:r>
          </w:p>
        </w:tc>
        <w:tc>
          <w:tcPr>
            <w:tcW w:w="275" w:type="pct"/>
            <w:tcBorders>
              <w:top w:val="nil"/>
              <w:left w:val="nil"/>
              <w:bottom w:val="single" w:color="auto" w:sz="4" w:space="0"/>
              <w:right w:val="single" w:color="auto" w:sz="4" w:space="0"/>
            </w:tcBorders>
            <w:shd w:val="clear" w:color="auto" w:fill="auto"/>
            <w:noWrap/>
            <w:vAlign w:val="center"/>
          </w:tcPr>
          <w:p w14:paraId="7AA1B1BF">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3.49</w:t>
            </w:r>
          </w:p>
        </w:tc>
      </w:tr>
      <w:tr w14:paraId="7543EB4C">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5CC2828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w:t>
            </w:r>
          </w:p>
        </w:tc>
        <w:tc>
          <w:tcPr>
            <w:tcW w:w="1016" w:type="pct"/>
            <w:tcBorders>
              <w:top w:val="nil"/>
              <w:left w:val="nil"/>
              <w:bottom w:val="single" w:color="auto" w:sz="4" w:space="0"/>
              <w:right w:val="single" w:color="auto" w:sz="4" w:space="0"/>
            </w:tcBorders>
            <w:shd w:val="clear" w:color="auto" w:fill="auto"/>
            <w:noWrap/>
            <w:vAlign w:val="center"/>
          </w:tcPr>
          <w:p w14:paraId="2D15F72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智慧水利综合应用平台</w:t>
            </w:r>
          </w:p>
        </w:tc>
        <w:tc>
          <w:tcPr>
            <w:tcW w:w="255" w:type="pct"/>
            <w:tcBorders>
              <w:top w:val="nil"/>
              <w:left w:val="nil"/>
              <w:bottom w:val="single" w:color="auto" w:sz="4" w:space="0"/>
              <w:right w:val="single" w:color="auto" w:sz="4" w:space="0"/>
            </w:tcBorders>
            <w:shd w:val="clear" w:color="auto" w:fill="auto"/>
            <w:noWrap/>
            <w:vAlign w:val="center"/>
          </w:tcPr>
          <w:p w14:paraId="3EB6FD37">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0D1CF85B">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构建市县两级水利综合应用平台。</w:t>
            </w:r>
          </w:p>
        </w:tc>
        <w:tc>
          <w:tcPr>
            <w:tcW w:w="407" w:type="pct"/>
            <w:tcBorders>
              <w:top w:val="nil"/>
              <w:left w:val="nil"/>
              <w:bottom w:val="single" w:color="auto" w:sz="4" w:space="0"/>
              <w:right w:val="single" w:color="auto" w:sz="4" w:space="0"/>
            </w:tcBorders>
            <w:shd w:val="clear" w:color="auto" w:fill="auto"/>
            <w:noWrap/>
            <w:vAlign w:val="center"/>
          </w:tcPr>
          <w:p w14:paraId="2B70789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0.16</w:t>
            </w:r>
          </w:p>
        </w:tc>
        <w:tc>
          <w:tcPr>
            <w:tcW w:w="436" w:type="pct"/>
            <w:tcBorders>
              <w:top w:val="nil"/>
              <w:left w:val="nil"/>
              <w:bottom w:val="single" w:color="auto" w:sz="4" w:space="0"/>
              <w:right w:val="single" w:color="auto" w:sz="4" w:space="0"/>
            </w:tcBorders>
            <w:shd w:val="clear" w:color="auto" w:fill="auto"/>
            <w:noWrap/>
            <w:vAlign w:val="center"/>
          </w:tcPr>
          <w:p w14:paraId="14CE7E1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w:t>
            </w:r>
          </w:p>
        </w:tc>
        <w:tc>
          <w:tcPr>
            <w:tcW w:w="326" w:type="pct"/>
            <w:tcBorders>
              <w:top w:val="nil"/>
              <w:left w:val="nil"/>
              <w:bottom w:val="single" w:color="auto" w:sz="4" w:space="0"/>
              <w:right w:val="single" w:color="auto" w:sz="4" w:space="0"/>
            </w:tcBorders>
            <w:shd w:val="clear" w:color="auto" w:fill="auto"/>
            <w:noWrap/>
            <w:vAlign w:val="center"/>
          </w:tcPr>
          <w:p w14:paraId="50C8E8CA">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1</w:t>
            </w:r>
          </w:p>
        </w:tc>
        <w:tc>
          <w:tcPr>
            <w:tcW w:w="356" w:type="pct"/>
            <w:tcBorders>
              <w:top w:val="nil"/>
              <w:left w:val="nil"/>
              <w:bottom w:val="single" w:color="auto" w:sz="4" w:space="0"/>
              <w:right w:val="single" w:color="auto" w:sz="4" w:space="0"/>
            </w:tcBorders>
            <w:shd w:val="clear" w:color="auto" w:fill="auto"/>
            <w:noWrap/>
            <w:vAlign w:val="center"/>
          </w:tcPr>
          <w:p w14:paraId="46976772">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0.26</w:t>
            </w:r>
          </w:p>
        </w:tc>
        <w:tc>
          <w:tcPr>
            <w:tcW w:w="275" w:type="pct"/>
            <w:tcBorders>
              <w:top w:val="nil"/>
              <w:left w:val="nil"/>
              <w:bottom w:val="single" w:color="auto" w:sz="4" w:space="0"/>
              <w:right w:val="single" w:color="auto" w:sz="4" w:space="0"/>
            </w:tcBorders>
            <w:shd w:val="clear" w:color="auto" w:fill="auto"/>
            <w:noWrap/>
            <w:vAlign w:val="center"/>
          </w:tcPr>
          <w:p w14:paraId="396866FE">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1.26</w:t>
            </w:r>
          </w:p>
        </w:tc>
      </w:tr>
      <w:tr w14:paraId="6E8496E8">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49A6B85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2</w:t>
            </w:r>
          </w:p>
        </w:tc>
        <w:tc>
          <w:tcPr>
            <w:tcW w:w="1016" w:type="pct"/>
            <w:tcBorders>
              <w:top w:val="nil"/>
              <w:left w:val="nil"/>
              <w:bottom w:val="single" w:color="auto" w:sz="4" w:space="0"/>
              <w:right w:val="single" w:color="auto" w:sz="4" w:space="0"/>
            </w:tcBorders>
            <w:shd w:val="clear" w:color="auto" w:fill="auto"/>
            <w:noWrap/>
            <w:vAlign w:val="center"/>
          </w:tcPr>
          <w:p w14:paraId="1BFA096B">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网络安全体系</w:t>
            </w:r>
          </w:p>
        </w:tc>
        <w:tc>
          <w:tcPr>
            <w:tcW w:w="255" w:type="pct"/>
            <w:tcBorders>
              <w:top w:val="nil"/>
              <w:left w:val="nil"/>
              <w:bottom w:val="single" w:color="auto" w:sz="4" w:space="0"/>
              <w:right w:val="single" w:color="auto" w:sz="4" w:space="0"/>
            </w:tcBorders>
            <w:shd w:val="clear" w:color="auto" w:fill="auto"/>
            <w:noWrap/>
            <w:vAlign w:val="center"/>
          </w:tcPr>
          <w:p w14:paraId="6248095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009C172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构建市、县两级节点网络安全保障体系。</w:t>
            </w:r>
          </w:p>
        </w:tc>
        <w:tc>
          <w:tcPr>
            <w:tcW w:w="407" w:type="pct"/>
            <w:tcBorders>
              <w:top w:val="nil"/>
              <w:left w:val="nil"/>
              <w:bottom w:val="single" w:color="auto" w:sz="4" w:space="0"/>
              <w:right w:val="single" w:color="auto" w:sz="4" w:space="0"/>
            </w:tcBorders>
            <w:shd w:val="clear" w:color="auto" w:fill="auto"/>
            <w:noWrap/>
            <w:vAlign w:val="center"/>
          </w:tcPr>
          <w:p w14:paraId="7F31930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0.05</w:t>
            </w:r>
          </w:p>
        </w:tc>
        <w:tc>
          <w:tcPr>
            <w:tcW w:w="436" w:type="pct"/>
            <w:tcBorders>
              <w:top w:val="nil"/>
              <w:left w:val="nil"/>
              <w:bottom w:val="single" w:color="auto" w:sz="4" w:space="0"/>
              <w:right w:val="single" w:color="auto" w:sz="4" w:space="0"/>
            </w:tcBorders>
            <w:shd w:val="clear" w:color="auto" w:fill="auto"/>
            <w:noWrap/>
            <w:vAlign w:val="center"/>
          </w:tcPr>
          <w:p w14:paraId="2BE3500A">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0.51</w:t>
            </w:r>
          </w:p>
        </w:tc>
        <w:tc>
          <w:tcPr>
            <w:tcW w:w="326" w:type="pct"/>
            <w:tcBorders>
              <w:top w:val="nil"/>
              <w:left w:val="nil"/>
              <w:bottom w:val="single" w:color="auto" w:sz="4" w:space="0"/>
              <w:right w:val="single" w:color="auto" w:sz="4" w:space="0"/>
            </w:tcBorders>
            <w:shd w:val="clear" w:color="auto" w:fill="auto"/>
            <w:noWrap/>
            <w:vAlign w:val="center"/>
          </w:tcPr>
          <w:p w14:paraId="4A82477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w:t>
            </w:r>
          </w:p>
        </w:tc>
        <w:tc>
          <w:tcPr>
            <w:tcW w:w="356" w:type="pct"/>
            <w:tcBorders>
              <w:top w:val="nil"/>
              <w:left w:val="nil"/>
              <w:bottom w:val="single" w:color="auto" w:sz="4" w:space="0"/>
              <w:right w:val="single" w:color="auto" w:sz="4" w:space="0"/>
            </w:tcBorders>
            <w:shd w:val="clear" w:color="auto" w:fill="auto"/>
            <w:noWrap/>
            <w:vAlign w:val="center"/>
          </w:tcPr>
          <w:p w14:paraId="02FC1359">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0.56</w:t>
            </w:r>
          </w:p>
        </w:tc>
        <w:tc>
          <w:tcPr>
            <w:tcW w:w="275" w:type="pct"/>
            <w:tcBorders>
              <w:top w:val="nil"/>
              <w:left w:val="nil"/>
              <w:bottom w:val="single" w:color="auto" w:sz="4" w:space="0"/>
              <w:right w:val="single" w:color="auto" w:sz="4" w:space="0"/>
            </w:tcBorders>
            <w:shd w:val="clear" w:color="auto" w:fill="auto"/>
            <w:noWrap/>
            <w:vAlign w:val="center"/>
          </w:tcPr>
          <w:p w14:paraId="1B7EE785">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1.06</w:t>
            </w:r>
          </w:p>
        </w:tc>
      </w:tr>
      <w:tr w14:paraId="2FED4D9E">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6F9E3EF6">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3</w:t>
            </w:r>
          </w:p>
        </w:tc>
        <w:tc>
          <w:tcPr>
            <w:tcW w:w="1016" w:type="pct"/>
            <w:tcBorders>
              <w:top w:val="nil"/>
              <w:left w:val="nil"/>
              <w:bottom w:val="single" w:color="auto" w:sz="4" w:space="0"/>
              <w:right w:val="single" w:color="auto" w:sz="4" w:space="0"/>
            </w:tcBorders>
            <w:shd w:val="clear" w:color="auto" w:fill="auto"/>
            <w:noWrap/>
            <w:vAlign w:val="center"/>
          </w:tcPr>
          <w:p w14:paraId="24E246C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管理保障体系-人才队伍</w:t>
            </w:r>
          </w:p>
        </w:tc>
        <w:tc>
          <w:tcPr>
            <w:tcW w:w="255" w:type="pct"/>
            <w:tcBorders>
              <w:top w:val="nil"/>
              <w:left w:val="nil"/>
              <w:bottom w:val="single" w:color="auto" w:sz="4" w:space="0"/>
              <w:right w:val="single" w:color="auto" w:sz="4" w:space="0"/>
            </w:tcBorders>
            <w:shd w:val="clear" w:color="auto" w:fill="auto"/>
            <w:noWrap/>
            <w:vAlign w:val="center"/>
          </w:tcPr>
          <w:p w14:paraId="17C2DB73">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29698E5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逐年开展人才培训，培训专业技术人员，提高水利职工综合素质。</w:t>
            </w:r>
          </w:p>
        </w:tc>
        <w:tc>
          <w:tcPr>
            <w:tcW w:w="407" w:type="pct"/>
            <w:tcBorders>
              <w:top w:val="nil"/>
              <w:left w:val="nil"/>
              <w:bottom w:val="single" w:color="auto" w:sz="4" w:space="0"/>
              <w:right w:val="single" w:color="auto" w:sz="4" w:space="0"/>
            </w:tcBorders>
            <w:shd w:val="clear" w:color="auto" w:fill="auto"/>
            <w:noWrap/>
            <w:vAlign w:val="center"/>
          </w:tcPr>
          <w:p w14:paraId="5187597B">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0.05</w:t>
            </w:r>
          </w:p>
        </w:tc>
        <w:tc>
          <w:tcPr>
            <w:tcW w:w="436" w:type="pct"/>
            <w:tcBorders>
              <w:top w:val="nil"/>
              <w:left w:val="nil"/>
              <w:bottom w:val="single" w:color="auto" w:sz="4" w:space="0"/>
              <w:right w:val="single" w:color="auto" w:sz="4" w:space="0"/>
            </w:tcBorders>
            <w:shd w:val="clear" w:color="auto" w:fill="auto"/>
            <w:noWrap/>
            <w:vAlign w:val="center"/>
          </w:tcPr>
          <w:p w14:paraId="50809967">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0.08</w:t>
            </w:r>
          </w:p>
        </w:tc>
        <w:tc>
          <w:tcPr>
            <w:tcW w:w="326" w:type="pct"/>
            <w:tcBorders>
              <w:top w:val="nil"/>
              <w:left w:val="nil"/>
              <w:bottom w:val="single" w:color="auto" w:sz="4" w:space="0"/>
              <w:right w:val="single" w:color="auto" w:sz="4" w:space="0"/>
            </w:tcBorders>
            <w:shd w:val="clear" w:color="auto" w:fill="auto"/>
            <w:noWrap/>
            <w:vAlign w:val="center"/>
          </w:tcPr>
          <w:p w14:paraId="7089D676">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w:t>
            </w:r>
          </w:p>
        </w:tc>
        <w:tc>
          <w:tcPr>
            <w:tcW w:w="356" w:type="pct"/>
            <w:tcBorders>
              <w:top w:val="nil"/>
              <w:left w:val="nil"/>
              <w:bottom w:val="single" w:color="auto" w:sz="4" w:space="0"/>
              <w:right w:val="single" w:color="auto" w:sz="4" w:space="0"/>
            </w:tcBorders>
            <w:shd w:val="clear" w:color="auto" w:fill="auto"/>
            <w:noWrap/>
            <w:vAlign w:val="center"/>
          </w:tcPr>
          <w:p w14:paraId="72F56918">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0.13</w:t>
            </w:r>
          </w:p>
        </w:tc>
        <w:tc>
          <w:tcPr>
            <w:tcW w:w="275" w:type="pct"/>
            <w:tcBorders>
              <w:top w:val="nil"/>
              <w:left w:val="nil"/>
              <w:bottom w:val="single" w:color="auto" w:sz="4" w:space="0"/>
              <w:right w:val="single" w:color="auto" w:sz="4" w:space="0"/>
            </w:tcBorders>
            <w:shd w:val="clear" w:color="auto" w:fill="auto"/>
            <w:noWrap/>
            <w:vAlign w:val="center"/>
          </w:tcPr>
          <w:p w14:paraId="4BCDC437">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0.23</w:t>
            </w:r>
          </w:p>
        </w:tc>
      </w:tr>
      <w:tr w14:paraId="7D3E94A2">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3DC785D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4</w:t>
            </w:r>
          </w:p>
        </w:tc>
        <w:tc>
          <w:tcPr>
            <w:tcW w:w="1016" w:type="pct"/>
            <w:tcBorders>
              <w:top w:val="nil"/>
              <w:left w:val="nil"/>
              <w:bottom w:val="single" w:color="auto" w:sz="4" w:space="0"/>
              <w:right w:val="single" w:color="auto" w:sz="4" w:space="0"/>
            </w:tcBorders>
            <w:shd w:val="clear" w:color="auto" w:fill="auto"/>
            <w:noWrap/>
            <w:vAlign w:val="center"/>
          </w:tcPr>
          <w:p w14:paraId="2A670C2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管理保障体系-水利信息</w:t>
            </w:r>
          </w:p>
        </w:tc>
        <w:tc>
          <w:tcPr>
            <w:tcW w:w="255" w:type="pct"/>
            <w:tcBorders>
              <w:top w:val="nil"/>
              <w:left w:val="nil"/>
              <w:bottom w:val="single" w:color="auto" w:sz="4" w:space="0"/>
              <w:right w:val="single" w:color="auto" w:sz="4" w:space="0"/>
            </w:tcBorders>
            <w:shd w:val="clear" w:color="auto" w:fill="auto"/>
            <w:noWrap/>
            <w:vAlign w:val="center"/>
          </w:tcPr>
          <w:p w14:paraId="4E494B9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6CE4E3FF">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建立市、县两级信息化建设标准，规范智慧水利建设工作。</w:t>
            </w:r>
          </w:p>
        </w:tc>
        <w:tc>
          <w:tcPr>
            <w:tcW w:w="407" w:type="pct"/>
            <w:tcBorders>
              <w:top w:val="nil"/>
              <w:left w:val="nil"/>
              <w:bottom w:val="single" w:color="auto" w:sz="4" w:space="0"/>
              <w:right w:val="single" w:color="auto" w:sz="4" w:space="0"/>
            </w:tcBorders>
            <w:shd w:val="clear" w:color="auto" w:fill="auto"/>
            <w:noWrap/>
            <w:vAlign w:val="center"/>
          </w:tcPr>
          <w:p w14:paraId="240BA42D">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0.05</w:t>
            </w:r>
          </w:p>
        </w:tc>
        <w:tc>
          <w:tcPr>
            <w:tcW w:w="436" w:type="pct"/>
            <w:tcBorders>
              <w:top w:val="nil"/>
              <w:left w:val="nil"/>
              <w:bottom w:val="single" w:color="auto" w:sz="4" w:space="0"/>
              <w:right w:val="single" w:color="auto" w:sz="4" w:space="0"/>
            </w:tcBorders>
            <w:shd w:val="clear" w:color="auto" w:fill="auto"/>
            <w:noWrap/>
            <w:vAlign w:val="center"/>
          </w:tcPr>
          <w:p w14:paraId="6DA6139C">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0.05</w:t>
            </w:r>
          </w:p>
        </w:tc>
        <w:tc>
          <w:tcPr>
            <w:tcW w:w="326" w:type="pct"/>
            <w:tcBorders>
              <w:top w:val="nil"/>
              <w:left w:val="nil"/>
              <w:bottom w:val="single" w:color="auto" w:sz="4" w:space="0"/>
              <w:right w:val="single" w:color="auto" w:sz="4" w:space="0"/>
            </w:tcBorders>
            <w:shd w:val="clear" w:color="auto" w:fill="auto"/>
            <w:noWrap/>
            <w:vAlign w:val="center"/>
          </w:tcPr>
          <w:p w14:paraId="174B2988">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0.1</w:t>
            </w:r>
          </w:p>
        </w:tc>
        <w:tc>
          <w:tcPr>
            <w:tcW w:w="356" w:type="pct"/>
            <w:tcBorders>
              <w:top w:val="nil"/>
              <w:left w:val="nil"/>
              <w:bottom w:val="single" w:color="auto" w:sz="4" w:space="0"/>
              <w:right w:val="single" w:color="auto" w:sz="4" w:space="0"/>
            </w:tcBorders>
            <w:shd w:val="clear" w:color="auto" w:fill="auto"/>
            <w:noWrap/>
            <w:vAlign w:val="center"/>
          </w:tcPr>
          <w:p w14:paraId="39850293">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0.1</w:t>
            </w:r>
          </w:p>
        </w:tc>
        <w:tc>
          <w:tcPr>
            <w:tcW w:w="275" w:type="pct"/>
            <w:tcBorders>
              <w:top w:val="nil"/>
              <w:left w:val="nil"/>
              <w:bottom w:val="single" w:color="auto" w:sz="4" w:space="0"/>
              <w:right w:val="single" w:color="auto" w:sz="4" w:space="0"/>
            </w:tcBorders>
            <w:shd w:val="clear" w:color="auto" w:fill="auto"/>
            <w:noWrap/>
            <w:vAlign w:val="center"/>
          </w:tcPr>
          <w:p w14:paraId="3EC095C6">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0.2</w:t>
            </w:r>
          </w:p>
        </w:tc>
      </w:tr>
      <w:tr w14:paraId="733CED54">
        <w:tblPrEx>
          <w:tblCellMar>
            <w:top w:w="0" w:type="dxa"/>
            <w:left w:w="108" w:type="dxa"/>
            <w:bottom w:w="0" w:type="dxa"/>
            <w:right w:w="108" w:type="dxa"/>
          </w:tblCellMar>
        </w:tblPrEx>
        <w:trPr>
          <w:trHeight w:val="285" w:hRule="atLeast"/>
        </w:trPr>
        <w:tc>
          <w:tcPr>
            <w:tcW w:w="252" w:type="pct"/>
            <w:tcBorders>
              <w:top w:val="nil"/>
              <w:left w:val="single" w:color="auto" w:sz="4" w:space="0"/>
              <w:bottom w:val="single" w:color="auto" w:sz="4" w:space="0"/>
              <w:right w:val="single" w:color="auto" w:sz="4" w:space="0"/>
            </w:tcBorders>
            <w:shd w:val="clear" w:color="auto" w:fill="auto"/>
            <w:noWrap/>
            <w:vAlign w:val="center"/>
          </w:tcPr>
          <w:p w14:paraId="64D90488">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5</w:t>
            </w:r>
          </w:p>
        </w:tc>
        <w:tc>
          <w:tcPr>
            <w:tcW w:w="1016" w:type="pct"/>
            <w:tcBorders>
              <w:top w:val="nil"/>
              <w:left w:val="nil"/>
              <w:bottom w:val="single" w:color="auto" w:sz="4" w:space="0"/>
              <w:right w:val="single" w:color="auto" w:sz="4" w:space="0"/>
            </w:tcBorders>
            <w:shd w:val="clear" w:color="auto" w:fill="auto"/>
            <w:noWrap/>
            <w:vAlign w:val="center"/>
          </w:tcPr>
          <w:p w14:paraId="748FD50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管理保障体系-水网信息</w:t>
            </w:r>
          </w:p>
        </w:tc>
        <w:tc>
          <w:tcPr>
            <w:tcW w:w="255" w:type="pct"/>
            <w:tcBorders>
              <w:top w:val="nil"/>
              <w:left w:val="nil"/>
              <w:bottom w:val="single" w:color="auto" w:sz="4" w:space="0"/>
              <w:right w:val="single" w:color="auto" w:sz="4" w:space="0"/>
            </w:tcBorders>
            <w:shd w:val="clear" w:color="auto" w:fill="auto"/>
            <w:noWrap/>
            <w:vAlign w:val="center"/>
          </w:tcPr>
          <w:p w14:paraId="4CEB9461">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市县</w:t>
            </w:r>
          </w:p>
        </w:tc>
        <w:tc>
          <w:tcPr>
            <w:tcW w:w="1677" w:type="pct"/>
            <w:tcBorders>
              <w:top w:val="nil"/>
              <w:left w:val="nil"/>
              <w:bottom w:val="single" w:color="auto" w:sz="4" w:space="0"/>
              <w:right w:val="single" w:color="auto" w:sz="4" w:space="0"/>
            </w:tcBorders>
            <w:shd w:val="clear" w:color="auto" w:fill="auto"/>
            <w:noWrap/>
            <w:vAlign w:val="center"/>
          </w:tcPr>
          <w:p w14:paraId="04A82163">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包括水网信息化基地、专项实验室建设，及应急处突设备等信息化相关配套设施采购。</w:t>
            </w:r>
          </w:p>
        </w:tc>
        <w:tc>
          <w:tcPr>
            <w:tcW w:w="407" w:type="pct"/>
            <w:tcBorders>
              <w:top w:val="nil"/>
              <w:left w:val="nil"/>
              <w:bottom w:val="single" w:color="auto" w:sz="4" w:space="0"/>
              <w:right w:val="single" w:color="auto" w:sz="4" w:space="0"/>
            </w:tcBorders>
            <w:shd w:val="clear" w:color="auto" w:fill="auto"/>
            <w:noWrap/>
            <w:vAlign w:val="center"/>
          </w:tcPr>
          <w:p w14:paraId="411585C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w:t>
            </w:r>
          </w:p>
        </w:tc>
        <w:tc>
          <w:tcPr>
            <w:tcW w:w="436" w:type="pct"/>
            <w:tcBorders>
              <w:top w:val="nil"/>
              <w:left w:val="nil"/>
              <w:bottom w:val="single" w:color="auto" w:sz="4" w:space="0"/>
              <w:right w:val="single" w:color="auto" w:sz="4" w:space="0"/>
            </w:tcBorders>
            <w:shd w:val="clear" w:color="auto" w:fill="auto"/>
            <w:noWrap/>
            <w:vAlign w:val="center"/>
          </w:tcPr>
          <w:p w14:paraId="71B98FE2">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0.3</w:t>
            </w:r>
          </w:p>
        </w:tc>
        <w:tc>
          <w:tcPr>
            <w:tcW w:w="326" w:type="pct"/>
            <w:tcBorders>
              <w:top w:val="nil"/>
              <w:left w:val="nil"/>
              <w:bottom w:val="single" w:color="auto" w:sz="4" w:space="0"/>
              <w:right w:val="single" w:color="auto" w:sz="4" w:space="0"/>
            </w:tcBorders>
            <w:shd w:val="clear" w:color="auto" w:fill="auto"/>
            <w:noWrap/>
            <w:vAlign w:val="center"/>
          </w:tcPr>
          <w:p w14:paraId="76D1CF94">
            <w:pPr>
              <w:widowControl/>
              <w:adjustRightInd w:val="0"/>
              <w:spacing w:line="240" w:lineRule="auto"/>
              <w:jc w:val="center"/>
              <w:rPr>
                <w:rFonts w:cs="Times New Roman"/>
                <w:color w:val="000000"/>
                <w:kern w:val="0"/>
                <w:sz w:val="20"/>
                <w:szCs w:val="20"/>
              </w:rPr>
            </w:pPr>
            <w:r>
              <w:rPr>
                <w:rFonts w:cs="Times New Roman"/>
                <w:color w:val="000000"/>
                <w:kern w:val="0"/>
                <w:sz w:val="20"/>
                <w:szCs w:val="20"/>
              </w:rPr>
              <w:t>0.5</w:t>
            </w:r>
          </w:p>
        </w:tc>
        <w:tc>
          <w:tcPr>
            <w:tcW w:w="356" w:type="pct"/>
            <w:tcBorders>
              <w:top w:val="nil"/>
              <w:left w:val="nil"/>
              <w:bottom w:val="single" w:color="auto" w:sz="4" w:space="0"/>
              <w:right w:val="single" w:color="auto" w:sz="4" w:space="0"/>
            </w:tcBorders>
            <w:shd w:val="clear" w:color="auto" w:fill="auto"/>
            <w:noWrap/>
            <w:vAlign w:val="center"/>
          </w:tcPr>
          <w:p w14:paraId="6A1551FB">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0.3</w:t>
            </w:r>
          </w:p>
        </w:tc>
        <w:tc>
          <w:tcPr>
            <w:tcW w:w="275" w:type="pct"/>
            <w:tcBorders>
              <w:top w:val="nil"/>
              <w:left w:val="nil"/>
              <w:bottom w:val="single" w:color="auto" w:sz="4" w:space="0"/>
              <w:right w:val="single" w:color="auto" w:sz="4" w:space="0"/>
            </w:tcBorders>
            <w:shd w:val="clear" w:color="auto" w:fill="auto"/>
            <w:noWrap/>
            <w:vAlign w:val="center"/>
          </w:tcPr>
          <w:p w14:paraId="4EF6F5B5">
            <w:pPr>
              <w:widowControl/>
              <w:adjustRightInd w:val="0"/>
              <w:spacing w:line="240" w:lineRule="auto"/>
              <w:jc w:val="center"/>
              <w:rPr>
                <w:rFonts w:cs="Times New Roman"/>
                <w:color w:val="000000"/>
                <w:kern w:val="0"/>
                <w:sz w:val="20"/>
                <w:szCs w:val="20"/>
              </w:rPr>
            </w:pPr>
            <w:r>
              <w:rPr>
                <w:rFonts w:hint="eastAsia" w:cs="Times New Roman"/>
                <w:color w:val="000000"/>
                <w:kern w:val="0"/>
                <w:sz w:val="20"/>
                <w:szCs w:val="20"/>
              </w:rPr>
              <w:t>0.8</w:t>
            </w:r>
          </w:p>
        </w:tc>
      </w:tr>
    </w:tbl>
    <w:p w14:paraId="723D9E6A">
      <w:pPr>
        <w:widowControl/>
        <w:adjustRightInd w:val="0"/>
        <w:ind w:firstLine="560" w:firstLineChars="200"/>
        <w:rPr>
          <w:rFonts w:cs="Times New Roman"/>
          <w:color w:val="000000" w:themeColor="text1"/>
          <w:sz w:val="28"/>
          <w:szCs w:val="28"/>
          <w14:textFill>
            <w14:solidFill>
              <w14:schemeClr w14:val="tx1"/>
            </w14:solidFill>
          </w14:textFill>
        </w:rPr>
        <w:sectPr>
          <w:pgSz w:w="16838" w:h="11906" w:orient="landscape"/>
          <w:pgMar w:top="1800" w:right="1440" w:bottom="1800" w:left="1440" w:header="851" w:footer="992" w:gutter="0"/>
          <w:cols w:space="425" w:num="1"/>
          <w:docGrid w:type="lines" w:linePitch="326" w:charSpace="0"/>
        </w:sectPr>
      </w:pPr>
    </w:p>
    <w:p w14:paraId="587338E2">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83" w:name="_Toc198652105"/>
      <w:r>
        <w:rPr>
          <w:rFonts w:hint="eastAsia" w:ascii="Times New Roman" w:hAnsi="Times New Roman" w:eastAsia="黑体" w:cs="Times New Roman"/>
          <w:b w:val="0"/>
          <w:bCs w:val="0"/>
          <w:kern w:val="0"/>
          <w:sz w:val="28"/>
          <w:szCs w:val="28"/>
        </w:rPr>
        <w:t>7.2人才队伍建设和科技创新规划</w:t>
      </w:r>
      <w:bookmarkEnd w:id="183"/>
    </w:p>
    <w:p w14:paraId="575A1D47">
      <w:pPr>
        <w:pStyle w:val="4"/>
        <w:widowControl/>
        <w:adjustRightInd w:val="0"/>
        <w:spacing w:before="0" w:after="0" w:line="360" w:lineRule="auto"/>
        <w:jc w:val="left"/>
        <w:rPr>
          <w:rFonts w:eastAsia="黑体" w:cs="Times New Roman"/>
          <w:b w:val="0"/>
          <w:bCs w:val="0"/>
          <w:kern w:val="0"/>
          <w:sz w:val="28"/>
          <w:szCs w:val="28"/>
        </w:rPr>
      </w:pPr>
      <w:bookmarkStart w:id="184" w:name="_Toc198652106"/>
      <w:r>
        <w:rPr>
          <w:rFonts w:hint="eastAsia" w:eastAsia="黑体" w:cs="Times New Roman"/>
          <w:b w:val="0"/>
          <w:bCs w:val="0"/>
          <w:kern w:val="0"/>
          <w:sz w:val="28"/>
          <w:szCs w:val="28"/>
        </w:rPr>
        <w:t>7.2.1人才队伍和科技创新现状</w:t>
      </w:r>
      <w:bookmarkEnd w:id="184"/>
    </w:p>
    <w:p w14:paraId="30149EA3">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九原区水利局现有干部职工56人，专业技术人员48人，占总人数的90%,其中具有中高级以上职称30人。</w:t>
      </w:r>
    </w:p>
    <w:p w14:paraId="22169767">
      <w:pPr>
        <w:pStyle w:val="4"/>
        <w:widowControl/>
        <w:adjustRightInd w:val="0"/>
        <w:spacing w:before="0" w:after="0" w:line="360" w:lineRule="auto"/>
        <w:jc w:val="left"/>
        <w:rPr>
          <w:rFonts w:eastAsia="黑体" w:cs="Times New Roman"/>
          <w:b w:val="0"/>
          <w:bCs w:val="0"/>
          <w:kern w:val="0"/>
          <w:sz w:val="28"/>
          <w:szCs w:val="28"/>
        </w:rPr>
      </w:pPr>
      <w:bookmarkStart w:id="185" w:name="_Toc198652107"/>
      <w:r>
        <w:rPr>
          <w:rFonts w:hint="eastAsia" w:eastAsia="黑体" w:cs="Times New Roman"/>
          <w:b w:val="0"/>
          <w:bCs w:val="0"/>
          <w:kern w:val="0"/>
          <w:sz w:val="28"/>
          <w:szCs w:val="28"/>
        </w:rPr>
        <w:t>7.2.2可持续发展对人才队伍和科技创新的需求</w:t>
      </w:r>
      <w:bookmarkEnd w:id="185"/>
    </w:p>
    <w:p w14:paraId="11A5177E">
      <w:pPr>
        <w:widowControl/>
        <w:adjustRightInd w:val="0"/>
        <w:ind w:firstLine="560" w:firstLineChars="200"/>
        <w:rPr>
          <w:rFonts w:cs="Times New Roman"/>
          <w:color w:val="000000" w:themeColor="text1"/>
          <w:sz w:val="28"/>
          <w:szCs w:val="28"/>
          <w14:textFill>
            <w14:solidFill>
              <w14:schemeClr w14:val="tx1"/>
            </w14:solidFill>
          </w14:textFill>
        </w:rPr>
      </w:pPr>
      <w:r>
        <w:rPr>
          <w:rFonts w:hint="eastAsia" w:cs="Times New Roman"/>
          <w:color w:val="000000" w:themeColor="text1"/>
          <w:sz w:val="28"/>
          <w:szCs w:val="28"/>
          <w14:textFill>
            <w14:solidFill>
              <w14:schemeClr w14:val="tx1"/>
            </w14:solidFill>
          </w14:textFill>
        </w:rPr>
        <w:t>为了保证水利发展与经济社会协调发展，维护生态平衡，改善居民生存环境，提高人民的生活质量，满足经济、社会发展的需求，把发展科学技术作为实现可持续发展的重大措施。为实现社会经济和环境的协调发展提供了有效的技术途径。</w:t>
      </w:r>
    </w:p>
    <w:p w14:paraId="0582EB02">
      <w:pPr>
        <w:pStyle w:val="4"/>
        <w:widowControl/>
        <w:adjustRightInd w:val="0"/>
        <w:spacing w:before="0" w:after="0" w:line="360" w:lineRule="auto"/>
        <w:jc w:val="left"/>
        <w:rPr>
          <w:rFonts w:eastAsia="黑体" w:cs="Times New Roman"/>
          <w:b w:val="0"/>
          <w:bCs w:val="0"/>
          <w:kern w:val="0"/>
          <w:sz w:val="28"/>
          <w:szCs w:val="28"/>
        </w:rPr>
      </w:pPr>
      <w:bookmarkStart w:id="186" w:name="_Toc198652108"/>
      <w:r>
        <w:rPr>
          <w:rFonts w:hint="eastAsia" w:eastAsia="黑体" w:cs="Times New Roman"/>
          <w:b w:val="0"/>
          <w:bCs w:val="0"/>
          <w:kern w:val="0"/>
          <w:sz w:val="28"/>
          <w:szCs w:val="28"/>
        </w:rPr>
        <w:t>7.2.3人才队伍和科技创新规划总体布局和主要建设内容</w:t>
      </w:r>
      <w:bookmarkEnd w:id="186"/>
    </w:p>
    <w:p w14:paraId="2D817AC7">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1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⑴</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针对目前水利科技人员老化短缺的现状，“十四五”期间要尽快吸收年轻大学生，以壮大水利科技队伍。</w:t>
      </w:r>
    </w:p>
    <w:p w14:paraId="5F8D14CD">
      <w:pPr>
        <w:widowControl/>
        <w:adjustRightInd w:val="0"/>
        <w:ind w:firstLine="560" w:firstLineChars="200"/>
        <w:rPr>
          <w:rFonts w:cs="Times New Roman"/>
          <w:color w:val="000000" w:themeColor="text1"/>
          <w:sz w:val="28"/>
          <w:szCs w:val="28"/>
          <w14:textFill>
            <w14:solidFill>
              <w14:schemeClr w14:val="tx1"/>
            </w14:solidFill>
          </w14:textFill>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2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⑵</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每年定期培训技术人员，交流技术、总结经验、开展学术讨论，努力提高基层水利的服务水平和水利建设的科技含量，适应新形势发展对水利工作人员的更高要求。</w:t>
      </w:r>
    </w:p>
    <w:p w14:paraId="78397DC3">
      <w:pPr>
        <w:widowControl/>
        <w:adjustRightInd w:val="0"/>
        <w:ind w:firstLine="560" w:firstLineChars="200"/>
        <w:rPr>
          <w:rFonts w:cs="Times New Roman"/>
          <w:sz w:val="28"/>
          <w:szCs w:val="24"/>
        </w:rPr>
      </w:pPr>
      <w:r>
        <w:rPr>
          <w:rFonts w:cs="Times New Roman"/>
          <w:color w:val="000000" w:themeColor="text1"/>
          <w:sz w:val="28"/>
          <w:szCs w:val="28"/>
          <w14:textFill>
            <w14:solidFill>
              <w14:schemeClr w14:val="tx1"/>
            </w14:solidFill>
          </w14:textFill>
        </w:rPr>
        <w:fldChar w:fldCharType="begin"/>
      </w:r>
      <w:r>
        <w:rPr>
          <w:rFonts w:cs="Times New Roman"/>
          <w:color w:val="000000" w:themeColor="text1"/>
          <w:sz w:val="28"/>
          <w:szCs w:val="28"/>
          <w14:textFill>
            <w14:solidFill>
              <w14:schemeClr w14:val="tx1"/>
            </w14:solidFill>
          </w14:textFill>
        </w:rPr>
        <w:instrText xml:space="preserve"> </w:instrText>
      </w:r>
      <w:r>
        <w:rPr>
          <w:rFonts w:hint="eastAsia" w:cs="Times New Roman"/>
          <w:color w:val="000000" w:themeColor="text1"/>
          <w:sz w:val="28"/>
          <w:szCs w:val="28"/>
          <w14:textFill>
            <w14:solidFill>
              <w14:schemeClr w14:val="tx1"/>
            </w14:solidFill>
          </w14:textFill>
        </w:rPr>
        <w:instrText xml:space="preserve">= 3 \* GB2</w:instrText>
      </w:r>
      <w:r>
        <w:rPr>
          <w:rFonts w:cs="Times New Roman"/>
          <w:color w:val="000000" w:themeColor="text1"/>
          <w:sz w:val="28"/>
          <w:szCs w:val="28"/>
          <w14:textFill>
            <w14:solidFill>
              <w14:schemeClr w14:val="tx1"/>
            </w14:solidFill>
          </w14:textFill>
        </w:rPr>
        <w:instrText xml:space="preserve"> </w:instrText>
      </w:r>
      <w:r>
        <w:rPr>
          <w:rFonts w:cs="Times New Roman"/>
          <w:color w:val="000000" w:themeColor="text1"/>
          <w:sz w:val="28"/>
          <w:szCs w:val="28"/>
          <w14:textFill>
            <w14:solidFill>
              <w14:schemeClr w14:val="tx1"/>
            </w14:solidFill>
          </w14:textFill>
        </w:rPr>
        <w:fldChar w:fldCharType="separate"/>
      </w:r>
      <w:r>
        <w:rPr>
          <w:rFonts w:hint="eastAsia" w:cs="Times New Roman"/>
          <w:color w:val="000000" w:themeColor="text1"/>
          <w:sz w:val="28"/>
          <w:szCs w:val="28"/>
          <w14:textFill>
            <w14:solidFill>
              <w14:schemeClr w14:val="tx1"/>
            </w14:solidFill>
          </w14:textFill>
        </w:rPr>
        <w:t>⑶</w:t>
      </w:r>
      <w:r>
        <w:rPr>
          <w:rFonts w:cs="Times New Roman"/>
          <w:color w:val="000000" w:themeColor="text1"/>
          <w:sz w:val="28"/>
          <w:szCs w:val="28"/>
          <w14:textFill>
            <w14:solidFill>
              <w14:schemeClr w14:val="tx1"/>
            </w14:solidFill>
          </w14:textFill>
        </w:rPr>
        <w:fldChar w:fldCharType="end"/>
      </w:r>
      <w:r>
        <w:rPr>
          <w:rFonts w:hint="eastAsia" w:cs="Times New Roman"/>
          <w:color w:val="000000" w:themeColor="text1"/>
          <w:sz w:val="28"/>
          <w:szCs w:val="28"/>
          <w14:textFill>
            <w14:solidFill>
              <w14:schemeClr w14:val="tx1"/>
            </w14:solidFill>
          </w14:textFill>
        </w:rPr>
        <w:t>积极引进推广国内外，区内外的水利先进技术，结合本地实际确定推广的重点技术。在推广中有所创新。总结出适合本地区应用的水利先进技术。</w:t>
      </w:r>
      <w:bookmarkStart w:id="187" w:name="_Toc127266601"/>
      <w:bookmarkStart w:id="188" w:name="_Toc109750848"/>
    </w:p>
    <w:bookmarkEnd w:id="187"/>
    <w:bookmarkEnd w:id="188"/>
    <w:p w14:paraId="14DF5D60">
      <w:pPr>
        <w:pStyle w:val="2"/>
        <w:widowControl/>
        <w:adjustRightInd w:val="0"/>
        <w:spacing w:before="0" w:after="0" w:line="360" w:lineRule="auto"/>
        <w:jc w:val="left"/>
        <w:rPr>
          <w:rFonts w:eastAsia="黑体" w:cs="Times New Roman"/>
          <w:b w:val="0"/>
          <w:bCs w:val="0"/>
          <w:sz w:val="32"/>
          <w:szCs w:val="48"/>
        </w:rPr>
        <w:sectPr>
          <w:pgSz w:w="11906" w:h="16838"/>
          <w:pgMar w:top="1440" w:right="1800" w:bottom="1440" w:left="1800" w:header="851" w:footer="992" w:gutter="0"/>
          <w:cols w:space="425" w:num="1"/>
          <w:docGrid w:type="lines" w:linePitch="312" w:charSpace="0"/>
        </w:sectPr>
      </w:pPr>
      <w:bookmarkStart w:id="189" w:name="_Hlk182320407"/>
    </w:p>
    <w:p w14:paraId="2FF14682">
      <w:pPr>
        <w:pStyle w:val="2"/>
        <w:widowControl/>
        <w:adjustRightInd w:val="0"/>
        <w:spacing w:before="0" w:after="0" w:line="360" w:lineRule="auto"/>
        <w:jc w:val="left"/>
        <w:rPr>
          <w:rFonts w:eastAsia="黑体" w:cs="Times New Roman"/>
          <w:b w:val="0"/>
          <w:bCs w:val="0"/>
          <w:sz w:val="32"/>
          <w:szCs w:val="48"/>
        </w:rPr>
      </w:pPr>
      <w:bookmarkStart w:id="190" w:name="_Toc198652109"/>
      <w:r>
        <w:rPr>
          <w:rFonts w:eastAsia="黑体" w:cs="Times New Roman"/>
          <w:b w:val="0"/>
          <w:bCs w:val="0"/>
          <w:sz w:val="32"/>
          <w:szCs w:val="48"/>
        </w:rPr>
        <w:t>8</w:t>
      </w:r>
      <w:bookmarkStart w:id="191" w:name="_Hlk191459443"/>
      <w:r>
        <w:rPr>
          <w:rFonts w:hint="eastAsia" w:eastAsia="黑体" w:cs="Times New Roman"/>
          <w:b w:val="0"/>
          <w:bCs w:val="0"/>
          <w:sz w:val="32"/>
          <w:szCs w:val="48"/>
        </w:rPr>
        <w:t>推动水网高质量发展</w:t>
      </w:r>
      <w:bookmarkEnd w:id="190"/>
      <w:bookmarkEnd w:id="191"/>
    </w:p>
    <w:p w14:paraId="6AFD9CE8">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92" w:name="_Toc198652110"/>
      <w:r>
        <w:rPr>
          <w:rFonts w:hint="eastAsia" w:ascii="Times New Roman" w:hAnsi="Times New Roman" w:eastAsia="黑体" w:cs="Times New Roman"/>
          <w:b w:val="0"/>
          <w:bCs w:val="0"/>
          <w:kern w:val="0"/>
          <w:sz w:val="28"/>
          <w:szCs w:val="28"/>
        </w:rPr>
        <w:t>8.1加强水网政策法规建设</w:t>
      </w:r>
      <w:bookmarkEnd w:id="192"/>
    </w:p>
    <w:p w14:paraId="2963D307">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1 \* GB2</w:instrText>
      </w:r>
      <w:r>
        <w:rPr>
          <w:b/>
          <w:bCs/>
          <w:sz w:val="28"/>
          <w:szCs w:val="24"/>
        </w:rPr>
        <w:instrText xml:space="preserve"> </w:instrText>
      </w:r>
      <w:r>
        <w:rPr>
          <w:b/>
          <w:bCs/>
          <w:sz w:val="28"/>
          <w:szCs w:val="24"/>
        </w:rPr>
        <w:fldChar w:fldCharType="separate"/>
      </w:r>
      <w:r>
        <w:rPr>
          <w:rFonts w:hint="eastAsia"/>
          <w:b/>
          <w:bCs/>
          <w:sz w:val="28"/>
          <w:szCs w:val="24"/>
        </w:rPr>
        <w:t>⑴</w:t>
      </w:r>
      <w:r>
        <w:rPr>
          <w:b/>
          <w:bCs/>
          <w:sz w:val="28"/>
          <w:szCs w:val="24"/>
        </w:rPr>
        <w:fldChar w:fldCharType="end"/>
      </w:r>
      <w:r>
        <w:rPr>
          <w:rFonts w:hint="eastAsia"/>
          <w:b/>
          <w:bCs/>
          <w:sz w:val="28"/>
          <w:szCs w:val="24"/>
        </w:rPr>
        <w:t>建全水法规制度体系</w:t>
      </w:r>
    </w:p>
    <w:p w14:paraId="126196BB">
      <w:pPr>
        <w:adjustRightInd w:val="0"/>
        <w:ind w:firstLine="560" w:firstLineChars="200"/>
        <w:rPr>
          <w:rFonts w:cs="Times New Roman"/>
          <w:sz w:val="28"/>
          <w:szCs w:val="24"/>
        </w:rPr>
      </w:pPr>
      <w:r>
        <w:rPr>
          <w:rFonts w:cs="Times New Roman"/>
          <w:sz w:val="28"/>
          <w:szCs w:val="24"/>
        </w:rPr>
        <w:t>贯彻实施国家有关水法律法规，适应水利现代化发展需要，根据上位法的修订和体制机制的创新要求，不断完善健全水法规度体系。加强对规范性文件的合法性审查与备案管理，不断夯实水利工作的制度基础。规范涉水规划编制工作标准，强化水利规划引领和约束作用。以水网规划为顶层设计，与空间规划协调衔接，加强水生态修复、智慧水利等水利专项规划的整合与编制。建立涉水规划后评价体系和项目后评估管理制度。</w:t>
      </w:r>
    </w:p>
    <w:p w14:paraId="17CC7807">
      <w:pPr>
        <w:adjustRightInd w:val="0"/>
        <w:ind w:firstLine="560" w:firstLineChars="200"/>
        <w:rPr>
          <w:rFonts w:cs="Times New Roman"/>
          <w:sz w:val="28"/>
          <w:szCs w:val="24"/>
        </w:rPr>
      </w:pPr>
      <w:r>
        <w:rPr>
          <w:rFonts w:cs="Times New Roman"/>
          <w:sz w:val="28"/>
          <w:szCs w:val="24"/>
        </w:rPr>
        <w:t>依法梳理水行政执法事项清单，逐项明确履职要求，落实岗位责任，公开履职方式，细化执法流程，压实执法责任。强化水行政执法队伍建设，健全完善水行政执法体制，保障水法规全面严格实施；全面加强常态化执法巡查，对重点涉事人、敏感水域加密执法巡查频次；对提供线索较为集中的重点领域、敏感区域，集中执法力量，开展执法行动，严厉打击妨碍行洪、违规取水，侵占河湖堤防、水库库容，毁坏水库大坝，非法采砂、人为造成水土流失等水事违法行为；加强执法协调联动，建立健全跨区域联动、跨部门联合执法机制；实行重大案件挂牌督办制度。</w:t>
      </w:r>
    </w:p>
    <w:p w14:paraId="1A256D9A">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2 \* GB2</w:instrText>
      </w:r>
      <w:r>
        <w:rPr>
          <w:b/>
          <w:bCs/>
          <w:sz w:val="28"/>
          <w:szCs w:val="24"/>
        </w:rPr>
        <w:instrText xml:space="preserve"> </w:instrText>
      </w:r>
      <w:r>
        <w:rPr>
          <w:b/>
          <w:bCs/>
          <w:sz w:val="28"/>
          <w:szCs w:val="24"/>
        </w:rPr>
        <w:fldChar w:fldCharType="separate"/>
      </w:r>
      <w:r>
        <w:rPr>
          <w:rFonts w:hint="eastAsia"/>
          <w:b/>
          <w:bCs/>
          <w:sz w:val="28"/>
          <w:szCs w:val="24"/>
        </w:rPr>
        <w:t>⑵</w:t>
      </w:r>
      <w:r>
        <w:rPr>
          <w:b/>
          <w:bCs/>
          <w:sz w:val="28"/>
          <w:szCs w:val="24"/>
        </w:rPr>
        <w:fldChar w:fldCharType="end"/>
      </w:r>
      <w:r>
        <w:rPr>
          <w:rFonts w:hint="eastAsia"/>
          <w:b/>
          <w:bCs/>
          <w:sz w:val="28"/>
          <w:szCs w:val="24"/>
        </w:rPr>
        <w:t>完善水网政策保障体系</w:t>
      </w:r>
    </w:p>
    <w:p w14:paraId="5B97B120">
      <w:pPr>
        <w:adjustRightInd w:val="0"/>
        <w:ind w:firstLine="560" w:firstLineChars="200"/>
        <w:rPr>
          <w:rFonts w:cs="Times New Roman"/>
          <w:sz w:val="28"/>
          <w:szCs w:val="24"/>
        </w:rPr>
      </w:pPr>
      <w:r>
        <w:rPr>
          <w:rFonts w:hint="eastAsia" w:cs="Times New Roman"/>
          <w:sz w:val="28"/>
          <w:szCs w:val="24"/>
        </w:rPr>
        <w:t>建立严格的水资源监管体系。严控水资源开发利用总量，按照包头市制定的水资源调度方案和年度调度计划，严格监管执行情况；实行水资源用途管制，全面开展规划水资源论证，严格建设项目水资源论证和取水许可监管，实行水资源超载地区暂停新增取水许可。</w:t>
      </w:r>
    </w:p>
    <w:p w14:paraId="32236BF7">
      <w:pPr>
        <w:adjustRightInd w:val="0"/>
        <w:ind w:firstLine="560" w:firstLineChars="200"/>
        <w:rPr>
          <w:rFonts w:cs="Times New Roman"/>
          <w:sz w:val="28"/>
          <w:szCs w:val="24"/>
        </w:rPr>
      </w:pPr>
      <w:r>
        <w:rPr>
          <w:rFonts w:hint="eastAsia" w:cs="Times New Roman"/>
          <w:sz w:val="28"/>
          <w:szCs w:val="24"/>
        </w:rPr>
        <w:t>建立健全水资源监测体系。完善水资源前端信息采集、传输系统及承接管理平台；加强江河流域跨行政区界断面、水量分配和生态流量重要控制断面、地下水、取退水口、重要饮用水水源地等监测分析；强化水资源“四预”功能，提高水资源数字化、网络化、智能化管理水平。</w:t>
      </w:r>
    </w:p>
    <w:p w14:paraId="02B64F38">
      <w:pPr>
        <w:adjustRightInd w:val="0"/>
        <w:ind w:firstLine="560" w:firstLineChars="200"/>
        <w:rPr>
          <w:rFonts w:cs="Times New Roman"/>
          <w:sz w:val="28"/>
          <w:szCs w:val="24"/>
        </w:rPr>
      </w:pPr>
      <w:r>
        <w:rPr>
          <w:rFonts w:hint="eastAsia" w:cs="Times New Roman"/>
          <w:sz w:val="28"/>
          <w:szCs w:val="24"/>
        </w:rPr>
        <w:t>建立健全节水制度政策。大力推动合同节水管理，推动出台支持政策，建立完善合同节水管理服务平台；按照国家相关要求，持续推进节水认证工作，将节水认证纳入统一的绿色产品认证标识体系，落实水效标识管理办法，扩大水效标识范围，逐步淘汰低水效等级产品。组织推动实施节水行动，健全部门协调机制，协同推动落实各项节水工作，同时开展节水行动评估工作，跟踪督导全区域落实节水行动实施方案。</w:t>
      </w:r>
    </w:p>
    <w:p w14:paraId="2709D025">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93" w:name="_Toc198652111"/>
      <w:r>
        <w:rPr>
          <w:rFonts w:hint="eastAsia" w:ascii="Times New Roman" w:hAnsi="Times New Roman" w:eastAsia="黑体" w:cs="Times New Roman"/>
          <w:b w:val="0"/>
          <w:bCs w:val="0"/>
          <w:kern w:val="0"/>
          <w:sz w:val="28"/>
          <w:szCs w:val="28"/>
        </w:rPr>
        <w:t>8.2完善水网建设管理制度</w:t>
      </w:r>
      <w:bookmarkEnd w:id="193"/>
    </w:p>
    <w:p w14:paraId="3E82D9C7">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1 \* GB2</w:instrText>
      </w:r>
      <w:r>
        <w:rPr>
          <w:b/>
          <w:bCs/>
          <w:sz w:val="28"/>
          <w:szCs w:val="24"/>
        </w:rPr>
        <w:instrText xml:space="preserve"> </w:instrText>
      </w:r>
      <w:r>
        <w:rPr>
          <w:b/>
          <w:bCs/>
          <w:sz w:val="28"/>
          <w:szCs w:val="24"/>
        </w:rPr>
        <w:fldChar w:fldCharType="separate"/>
      </w:r>
      <w:r>
        <w:rPr>
          <w:rFonts w:hint="eastAsia"/>
          <w:b/>
          <w:bCs/>
          <w:sz w:val="28"/>
          <w:szCs w:val="24"/>
        </w:rPr>
        <w:t>⑴</w:t>
      </w:r>
      <w:r>
        <w:rPr>
          <w:b/>
          <w:bCs/>
          <w:sz w:val="28"/>
          <w:szCs w:val="24"/>
        </w:rPr>
        <w:fldChar w:fldCharType="end"/>
      </w:r>
      <w:r>
        <w:rPr>
          <w:rFonts w:hint="eastAsia"/>
          <w:b/>
          <w:bCs/>
          <w:sz w:val="28"/>
          <w:szCs w:val="24"/>
        </w:rPr>
        <w:t>完善水利工程建设监管制度</w:t>
      </w:r>
    </w:p>
    <w:p w14:paraId="34E40202">
      <w:pPr>
        <w:adjustRightInd w:val="0"/>
        <w:ind w:firstLine="560" w:firstLineChars="200"/>
        <w:rPr>
          <w:rFonts w:cs="Times New Roman"/>
          <w:sz w:val="28"/>
          <w:szCs w:val="24"/>
        </w:rPr>
      </w:pPr>
      <w:r>
        <w:rPr>
          <w:rFonts w:hint="eastAsia" w:cs="Times New Roman"/>
          <w:sz w:val="28"/>
          <w:szCs w:val="24"/>
        </w:rPr>
        <w:t>全面落实项目法人责任制、招标投标制、建设监理制、合同管理制等四项制度。完善水利建设工程质量与安全保障体系，健全水利工程质量监督、质量督查、检查制度和公众举报制度，全面推进水利工程建设质量和安全监督工作。加强建设市场监管，严格市场准入和资质资格管理，建设水利建设市场主体信用体系。</w:t>
      </w:r>
    </w:p>
    <w:p w14:paraId="7C53AE73">
      <w:pPr>
        <w:adjustRightInd w:val="0"/>
        <w:ind w:firstLine="560" w:firstLineChars="200"/>
        <w:rPr>
          <w:rFonts w:cs="Times New Roman"/>
          <w:sz w:val="28"/>
          <w:szCs w:val="24"/>
        </w:rPr>
      </w:pPr>
      <w:r>
        <w:rPr>
          <w:rFonts w:hint="eastAsia" w:cs="Times New Roman"/>
          <w:sz w:val="28"/>
          <w:szCs w:val="24"/>
        </w:rPr>
        <w:t>按照“全域覆盖、全网共享、全时可用、全程可控”的建设目标，采用统建共享、互联互通的建设模式，组织开展水利基建项目建设管理平台、水利监管工作平台升级改造。将水网工程项目纳入两个平台管控范围，实行建设全过程在线监管，工程建设过程资料实时保存，进一步提升水网工程建设管理数字化、信息化水平。</w:t>
      </w:r>
    </w:p>
    <w:p w14:paraId="31586C70">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2 \* GB2</w:instrText>
      </w:r>
      <w:r>
        <w:rPr>
          <w:b/>
          <w:bCs/>
          <w:sz w:val="28"/>
          <w:szCs w:val="24"/>
        </w:rPr>
        <w:instrText xml:space="preserve"> </w:instrText>
      </w:r>
      <w:r>
        <w:rPr>
          <w:b/>
          <w:bCs/>
          <w:sz w:val="28"/>
          <w:szCs w:val="24"/>
        </w:rPr>
        <w:fldChar w:fldCharType="separate"/>
      </w:r>
      <w:r>
        <w:rPr>
          <w:rFonts w:hint="eastAsia"/>
          <w:b/>
          <w:bCs/>
          <w:sz w:val="28"/>
          <w:szCs w:val="24"/>
        </w:rPr>
        <w:t>⑵</w:t>
      </w:r>
      <w:r>
        <w:rPr>
          <w:b/>
          <w:bCs/>
          <w:sz w:val="28"/>
          <w:szCs w:val="24"/>
        </w:rPr>
        <w:fldChar w:fldCharType="end"/>
      </w:r>
      <w:r>
        <w:rPr>
          <w:rFonts w:hint="eastAsia"/>
          <w:b/>
          <w:bCs/>
          <w:sz w:val="28"/>
          <w:szCs w:val="24"/>
        </w:rPr>
        <w:t>推进水网建设管理标准化</w:t>
      </w:r>
    </w:p>
    <w:p w14:paraId="2DB7100B">
      <w:pPr>
        <w:adjustRightInd w:val="0"/>
        <w:ind w:firstLine="560" w:firstLineChars="200"/>
        <w:rPr>
          <w:rFonts w:cs="Times New Roman"/>
          <w:sz w:val="28"/>
          <w:szCs w:val="24"/>
        </w:rPr>
      </w:pPr>
      <w:r>
        <w:rPr>
          <w:rFonts w:hint="eastAsia" w:cs="Times New Roman"/>
          <w:sz w:val="28"/>
          <w:szCs w:val="24"/>
        </w:rPr>
        <w:t>从水网工程管理特性、能力现状、新发展要求出发，以“工程安全、运行可靠、管理高效”为目标，从管什么、谁来管、怎么管三方面落实水网工程标准化管理。推进水网工程制度建设、人员配备、施工流程、安全生产等环节的标准化管理。创建标准化水网工程典型示范案例，改变水网工程建设管理薄弱的现状，以先进典型引领高质量建设。</w:t>
      </w:r>
    </w:p>
    <w:p w14:paraId="62EF5288">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3 \* GB2</w:instrText>
      </w:r>
      <w:r>
        <w:rPr>
          <w:b/>
          <w:bCs/>
          <w:sz w:val="28"/>
          <w:szCs w:val="24"/>
        </w:rPr>
        <w:instrText xml:space="preserve"> </w:instrText>
      </w:r>
      <w:r>
        <w:rPr>
          <w:b/>
          <w:bCs/>
          <w:sz w:val="28"/>
          <w:szCs w:val="24"/>
        </w:rPr>
        <w:fldChar w:fldCharType="separate"/>
      </w:r>
      <w:r>
        <w:rPr>
          <w:rFonts w:hint="eastAsia"/>
          <w:b/>
          <w:bCs/>
          <w:sz w:val="28"/>
          <w:szCs w:val="24"/>
        </w:rPr>
        <w:t>⑶</w:t>
      </w:r>
      <w:r>
        <w:rPr>
          <w:b/>
          <w:bCs/>
          <w:sz w:val="28"/>
          <w:szCs w:val="24"/>
        </w:rPr>
        <w:fldChar w:fldCharType="end"/>
      </w:r>
      <w:r>
        <w:rPr>
          <w:rFonts w:hint="eastAsia"/>
          <w:b/>
          <w:bCs/>
          <w:sz w:val="28"/>
          <w:szCs w:val="24"/>
        </w:rPr>
        <w:t>强化水网建设监督考核</w:t>
      </w:r>
    </w:p>
    <w:p w14:paraId="2F0B2647">
      <w:pPr>
        <w:adjustRightInd w:val="0"/>
        <w:ind w:firstLine="560" w:firstLineChars="200"/>
        <w:rPr>
          <w:rFonts w:cs="Times New Roman"/>
          <w:sz w:val="28"/>
          <w:szCs w:val="24"/>
        </w:rPr>
      </w:pPr>
      <w:r>
        <w:rPr>
          <w:rFonts w:hint="eastAsia" w:cs="Times New Roman"/>
          <w:sz w:val="28"/>
          <w:szCs w:val="24"/>
        </w:rPr>
        <w:t>建立水网规划实施考核和评估制度，加强对规划实施进度、效果的检查评估。明确规划确定的重大工程和重要任务的责任主体和进度要求，建立规划实施督促检查和考评机制，加强对规划目标指标完成情况的考核监督。</w:t>
      </w:r>
    </w:p>
    <w:p w14:paraId="793F7857">
      <w:pPr>
        <w:adjustRightInd w:val="0"/>
        <w:ind w:firstLine="560" w:firstLineChars="200"/>
        <w:rPr>
          <w:rFonts w:cs="Times New Roman"/>
          <w:sz w:val="28"/>
          <w:szCs w:val="24"/>
        </w:rPr>
      </w:pPr>
      <w:r>
        <w:rPr>
          <w:rFonts w:hint="eastAsia" w:cs="Times New Roman"/>
          <w:sz w:val="28"/>
          <w:szCs w:val="24"/>
        </w:rPr>
        <w:t>完善水网建设工程质量与安全保障体系，健全水网工程质量监督、质量督查、检查制度和公众举报制度，建立健全“政府监督、业主负责、监理控制、企业保证”的质量管理体系，全面推进水网工程建设质量和安全监督工作。加强建设市场监管，严格市场准入和资质资格管理，加快水网建设市场主体信用体系建设。</w:t>
      </w:r>
    </w:p>
    <w:p w14:paraId="12F89FB6">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94" w:name="_Toc198652112"/>
      <w:r>
        <w:rPr>
          <w:rFonts w:hint="eastAsia" w:ascii="Times New Roman" w:hAnsi="Times New Roman" w:eastAsia="黑体" w:cs="Times New Roman"/>
          <w:b w:val="0"/>
          <w:bCs w:val="0"/>
          <w:kern w:val="0"/>
          <w:sz w:val="28"/>
          <w:szCs w:val="28"/>
        </w:rPr>
        <w:t>8.3创新水网工程良性运行机制</w:t>
      </w:r>
      <w:bookmarkEnd w:id="194"/>
    </w:p>
    <w:p w14:paraId="6713D791">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1 \* GB2</w:instrText>
      </w:r>
      <w:r>
        <w:rPr>
          <w:b/>
          <w:bCs/>
          <w:sz w:val="28"/>
          <w:szCs w:val="24"/>
        </w:rPr>
        <w:instrText xml:space="preserve"> </w:instrText>
      </w:r>
      <w:r>
        <w:rPr>
          <w:b/>
          <w:bCs/>
          <w:sz w:val="28"/>
          <w:szCs w:val="24"/>
        </w:rPr>
        <w:fldChar w:fldCharType="separate"/>
      </w:r>
      <w:r>
        <w:rPr>
          <w:rFonts w:hint="eastAsia"/>
          <w:b/>
          <w:bCs/>
          <w:sz w:val="28"/>
          <w:szCs w:val="24"/>
        </w:rPr>
        <w:t>⑴</w:t>
      </w:r>
      <w:r>
        <w:rPr>
          <w:b/>
          <w:bCs/>
          <w:sz w:val="28"/>
          <w:szCs w:val="24"/>
        </w:rPr>
        <w:fldChar w:fldCharType="end"/>
      </w:r>
      <w:r>
        <w:rPr>
          <w:rFonts w:hint="eastAsia"/>
          <w:b/>
          <w:bCs/>
          <w:sz w:val="28"/>
          <w:szCs w:val="24"/>
        </w:rPr>
        <w:t>完善水价市场机制</w:t>
      </w:r>
    </w:p>
    <w:p w14:paraId="796E7AE5">
      <w:pPr>
        <w:adjustRightInd w:val="0"/>
        <w:ind w:firstLine="560" w:firstLineChars="200"/>
        <w:rPr>
          <w:rFonts w:cs="Times New Roman"/>
          <w:sz w:val="28"/>
          <w:szCs w:val="24"/>
        </w:rPr>
      </w:pPr>
      <w:r>
        <w:rPr>
          <w:rFonts w:hint="eastAsia" w:cs="Times New Roman"/>
          <w:sz w:val="28"/>
          <w:szCs w:val="24"/>
        </w:rPr>
        <w:t>完善水网工程供水价格形成机制，健全有利于促进水资源节约和水网工程良性运行、与投融资体制相适应的水网工程水价形成机制。合理调整城镇供水价格，进一步落实居民生活用水阶梯水价制度和非居民超定额累进加价制度。加快推进农村供水水价改革，建立合理的水价形成机制、水费收缴机制。</w:t>
      </w:r>
    </w:p>
    <w:p w14:paraId="2B7BE092">
      <w:pPr>
        <w:adjustRightInd w:val="0"/>
        <w:ind w:firstLine="560" w:firstLineChars="200"/>
        <w:rPr>
          <w:rFonts w:cs="Times New Roman"/>
          <w:sz w:val="28"/>
          <w:szCs w:val="24"/>
        </w:rPr>
      </w:pPr>
      <w:r>
        <w:rPr>
          <w:rFonts w:hint="eastAsia" w:cs="Times New Roman"/>
          <w:sz w:val="28"/>
          <w:szCs w:val="24"/>
        </w:rPr>
        <w:t>建立健全有利于促进水资源节约和水利工程良性运行、与投融资体制机制改革相适应的水价形成机制，推动水利工程供水价格动态调整，探索建立水价精准补贴机制。对于社会资本参与投资运营的水源工程供水，探索实行供需双方协商定价。以推进现代化灌区建设为抓手，深化农业水价综合改革，逐步形成稳定的灌溉增效、用水付费、精准补贴、节水奖励的农业水价政策体系。完善城乡供水一体化水价形成机制，充分考虑居民承受能力，制定或调整供水水价，稳步推进水费收缴，实现应收尽收。</w:t>
      </w:r>
    </w:p>
    <w:p w14:paraId="5CFA2FB9">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2 \* GB2</w:instrText>
      </w:r>
      <w:r>
        <w:rPr>
          <w:b/>
          <w:bCs/>
          <w:sz w:val="28"/>
          <w:szCs w:val="24"/>
        </w:rPr>
        <w:instrText xml:space="preserve"> </w:instrText>
      </w:r>
      <w:r>
        <w:rPr>
          <w:b/>
          <w:bCs/>
          <w:sz w:val="28"/>
          <w:szCs w:val="24"/>
        </w:rPr>
        <w:fldChar w:fldCharType="separate"/>
      </w:r>
      <w:r>
        <w:rPr>
          <w:rFonts w:hint="eastAsia"/>
          <w:b/>
          <w:bCs/>
          <w:sz w:val="28"/>
          <w:szCs w:val="24"/>
        </w:rPr>
        <w:t>⑵</w:t>
      </w:r>
      <w:r>
        <w:rPr>
          <w:b/>
          <w:bCs/>
          <w:sz w:val="28"/>
          <w:szCs w:val="24"/>
        </w:rPr>
        <w:fldChar w:fldCharType="end"/>
      </w:r>
      <w:r>
        <w:rPr>
          <w:rFonts w:hint="eastAsia"/>
          <w:b/>
          <w:bCs/>
          <w:sz w:val="28"/>
          <w:szCs w:val="24"/>
        </w:rPr>
        <w:t>完善水网协调机制</w:t>
      </w:r>
    </w:p>
    <w:p w14:paraId="29E4204E">
      <w:pPr>
        <w:adjustRightInd w:val="0"/>
        <w:ind w:firstLine="560" w:firstLineChars="200"/>
        <w:rPr>
          <w:rFonts w:cs="Times New Roman"/>
          <w:sz w:val="28"/>
          <w:szCs w:val="24"/>
        </w:rPr>
      </w:pPr>
      <w:r>
        <w:rPr>
          <w:rFonts w:hint="eastAsia" w:cs="Times New Roman"/>
          <w:sz w:val="28"/>
          <w:szCs w:val="24"/>
        </w:rPr>
        <w:t>按照建机制、激活力、促效率的思路，深化水网工程建设运行管理重点领域和关键环节改革，完善水网建设运行管理体制机制，激发水利发展内生动力和活力，全面提升九原区水网现代化管理和服务水平。</w:t>
      </w:r>
    </w:p>
    <w:p w14:paraId="3EA3DE10">
      <w:pPr>
        <w:adjustRightInd w:val="0"/>
        <w:ind w:firstLine="560" w:firstLineChars="200"/>
        <w:rPr>
          <w:rFonts w:cs="Times New Roman"/>
          <w:sz w:val="28"/>
          <w:szCs w:val="24"/>
        </w:rPr>
      </w:pPr>
      <w:r>
        <w:rPr>
          <w:rFonts w:hint="eastAsia" w:cs="Times New Roman"/>
          <w:sz w:val="28"/>
          <w:szCs w:val="24"/>
        </w:rPr>
        <w:t>建立部门联席会议机制。建立由九原区水利、发展改革、财政、自然资源、生态环境、农牧业等相关部门组成的水网建设工作联席会议制度，明确工作任务、责任分工和时间节点，合力推进水网建设，协商解决防洪减灾、水资源配置、水生态治理、岸线保护利用、信息共享等重大事项，共同解决水网建设用地、环评等水网建设要素保障问题。</w:t>
      </w:r>
    </w:p>
    <w:p w14:paraId="4D9A8B27">
      <w:pPr>
        <w:adjustRightInd w:val="0"/>
        <w:ind w:firstLine="560" w:firstLineChars="200"/>
        <w:rPr>
          <w:rFonts w:cs="Times New Roman"/>
          <w:sz w:val="28"/>
          <w:szCs w:val="24"/>
        </w:rPr>
      </w:pPr>
      <w:r>
        <w:rPr>
          <w:rFonts w:hint="eastAsia" w:cs="Times New Roman"/>
          <w:sz w:val="28"/>
          <w:szCs w:val="24"/>
        </w:rPr>
        <w:t>建立流域区域统筹协调机制。充分发挥水网建设规划的引领、指导、约束作用，强化九原区水网河流水系统筹协调，加强跨区、乡镇水网工程沟通协作，推进跨区域河流联保联治。强化流域多目标统筹协调，建立健全各方利益协调统一的调度体制机制。</w:t>
      </w:r>
    </w:p>
    <w:p w14:paraId="3CD9361A">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3 \* GB2</w:instrText>
      </w:r>
      <w:r>
        <w:rPr>
          <w:b/>
          <w:bCs/>
          <w:sz w:val="28"/>
          <w:szCs w:val="24"/>
        </w:rPr>
        <w:instrText xml:space="preserve"> </w:instrText>
      </w:r>
      <w:r>
        <w:rPr>
          <w:b/>
          <w:bCs/>
          <w:sz w:val="28"/>
          <w:szCs w:val="24"/>
        </w:rPr>
        <w:fldChar w:fldCharType="separate"/>
      </w:r>
      <w:r>
        <w:rPr>
          <w:rFonts w:hint="eastAsia"/>
          <w:b/>
          <w:bCs/>
          <w:sz w:val="28"/>
          <w:szCs w:val="24"/>
        </w:rPr>
        <w:t>⑶</w:t>
      </w:r>
      <w:r>
        <w:rPr>
          <w:b/>
          <w:bCs/>
          <w:sz w:val="28"/>
          <w:szCs w:val="24"/>
        </w:rPr>
        <w:fldChar w:fldCharType="end"/>
      </w:r>
      <w:r>
        <w:rPr>
          <w:rFonts w:hint="eastAsia"/>
          <w:b/>
          <w:bCs/>
          <w:sz w:val="28"/>
          <w:szCs w:val="24"/>
        </w:rPr>
        <w:t>健全水网工程调度运行机制</w:t>
      </w:r>
    </w:p>
    <w:p w14:paraId="11A00E81">
      <w:pPr>
        <w:adjustRightInd w:val="0"/>
        <w:ind w:firstLine="560" w:firstLineChars="200"/>
        <w:rPr>
          <w:rFonts w:cs="Times New Roman"/>
          <w:sz w:val="28"/>
          <w:szCs w:val="24"/>
        </w:rPr>
      </w:pPr>
      <w:r>
        <w:rPr>
          <w:rFonts w:hint="eastAsia" w:cs="Times New Roman"/>
          <w:sz w:val="28"/>
          <w:szCs w:val="24"/>
        </w:rPr>
        <w:t>坚持流域区域统筹，加强水网工程联合调度，强化水资源统一管理、统一调配，建立健全水网工程长效管护机制，不断提高水网运行效率和效益。</w:t>
      </w:r>
    </w:p>
    <w:p w14:paraId="2E794539">
      <w:pPr>
        <w:adjustRightInd w:val="0"/>
        <w:ind w:firstLine="560" w:firstLineChars="200"/>
        <w:rPr>
          <w:rFonts w:cs="Times New Roman"/>
          <w:sz w:val="28"/>
          <w:szCs w:val="24"/>
        </w:rPr>
      </w:pPr>
      <w:r>
        <w:rPr>
          <w:rFonts w:hint="eastAsia" w:cs="Times New Roman"/>
          <w:sz w:val="28"/>
          <w:szCs w:val="24"/>
        </w:rPr>
        <w:t>从流域整体出发，依托水网工程智能调度平台，统筹考虑防洪减灾、水资源调配、水生态保护治理等多目标，协调区域间、部门间不同调度需求，建立多目标水网工程调度体系，促进各层级水工程调度协调有序，提高水网运行效率和综合效益。建立水网运行调度管理制度体系，制定应急调度方案，提高制度化管理水平。推进水网工程规范化、标准化管理，对乡镇分散管理的小型水利工程推行政府购买服务、集中管理和“以大带小”管护模式。推动水网工程管护和效益发挥机制改革，完善工程管养分离等相关政策，开展市场化、社会化管理模式试点。</w:t>
      </w:r>
    </w:p>
    <w:p w14:paraId="7D61613D">
      <w:pPr>
        <w:adjustRightInd w:val="0"/>
        <w:ind w:firstLine="562" w:firstLineChars="200"/>
        <w:rPr>
          <w:b/>
          <w:bCs/>
          <w:sz w:val="28"/>
          <w:szCs w:val="24"/>
        </w:rPr>
      </w:pPr>
      <w:r>
        <w:rPr>
          <w:b/>
          <w:bCs/>
          <w:sz w:val="28"/>
          <w:szCs w:val="24"/>
        </w:rPr>
        <w:fldChar w:fldCharType="begin"/>
      </w:r>
      <w:r>
        <w:rPr>
          <w:b/>
          <w:bCs/>
          <w:sz w:val="28"/>
          <w:szCs w:val="24"/>
        </w:rPr>
        <w:instrText xml:space="preserve"> </w:instrText>
      </w:r>
      <w:r>
        <w:rPr>
          <w:rFonts w:hint="eastAsia"/>
          <w:b/>
          <w:bCs/>
          <w:sz w:val="28"/>
          <w:szCs w:val="24"/>
        </w:rPr>
        <w:instrText xml:space="preserve">= 4 \* GB2</w:instrText>
      </w:r>
      <w:r>
        <w:rPr>
          <w:b/>
          <w:bCs/>
          <w:sz w:val="28"/>
          <w:szCs w:val="24"/>
        </w:rPr>
        <w:instrText xml:space="preserve"> </w:instrText>
      </w:r>
      <w:r>
        <w:rPr>
          <w:b/>
          <w:bCs/>
          <w:sz w:val="28"/>
          <w:szCs w:val="24"/>
        </w:rPr>
        <w:fldChar w:fldCharType="separate"/>
      </w:r>
      <w:r>
        <w:rPr>
          <w:rFonts w:hint="eastAsia"/>
          <w:b/>
          <w:bCs/>
          <w:sz w:val="28"/>
          <w:szCs w:val="24"/>
        </w:rPr>
        <w:t>⑷</w:t>
      </w:r>
      <w:r>
        <w:rPr>
          <w:b/>
          <w:bCs/>
          <w:sz w:val="28"/>
          <w:szCs w:val="24"/>
        </w:rPr>
        <w:fldChar w:fldCharType="end"/>
      </w:r>
      <w:r>
        <w:rPr>
          <w:rFonts w:hint="eastAsia"/>
          <w:b/>
          <w:bCs/>
          <w:sz w:val="28"/>
          <w:szCs w:val="24"/>
        </w:rPr>
        <w:t>创新水网运行管理方式</w:t>
      </w:r>
    </w:p>
    <w:p w14:paraId="132EFD28">
      <w:pPr>
        <w:adjustRightInd w:val="0"/>
        <w:ind w:firstLine="560" w:firstLineChars="200"/>
        <w:rPr>
          <w:rFonts w:cs="Times New Roman"/>
          <w:sz w:val="28"/>
          <w:szCs w:val="24"/>
        </w:rPr>
      </w:pPr>
      <w:r>
        <w:rPr>
          <w:rFonts w:hint="eastAsia" w:cs="Times New Roman"/>
          <w:sz w:val="28"/>
          <w:szCs w:val="24"/>
        </w:rPr>
        <w:t>依托互联网、大数据、云计算等现代科技，推进工程监测、安全鉴定、工程维修、工程实时运行状况等信息化智能化建设，全方位、全要素、多维度实时监测水网工程安全状况，建立风险查找、研判、预警、防范、处置、责任等全链条管控机制，确保水网工程运行安全，实现运管工作系统化和全过程可追溯，从而改变工程运行管理方式，提升管理效能，让管理工作更到位、调度控制更精准、过程管控更规范、信息掌握更及时、成果评价更便捷。</w:t>
      </w:r>
    </w:p>
    <w:p w14:paraId="2C76A481">
      <w:pPr>
        <w:adjustRightInd w:val="0"/>
        <w:ind w:firstLine="560" w:firstLineChars="200"/>
        <w:rPr>
          <w:rFonts w:cs="Times New Roman"/>
          <w:sz w:val="28"/>
          <w:szCs w:val="24"/>
        </w:rPr>
      </w:pPr>
      <w:r>
        <w:rPr>
          <w:rFonts w:hint="eastAsia" w:cs="Times New Roman"/>
          <w:sz w:val="28"/>
          <w:szCs w:val="24"/>
        </w:rPr>
        <w:t>建立工程信息化管理平台，实现信息共享、动态监管和评估预警。推行精细化管理理念，在落实各单位管理运行规定标准、行业规范的基础上，根据工作实际自主提升工作标准，推行全链条管理和“精准细严”管理理念，即精确的工作目标、准确的工作流程、细致的工作态度、严格的工作要求。</w:t>
      </w:r>
    </w:p>
    <w:p w14:paraId="5E91C373">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95" w:name="_Toc198652113"/>
      <w:r>
        <w:rPr>
          <w:rFonts w:hint="eastAsia" w:ascii="Times New Roman" w:hAnsi="Times New Roman" w:eastAsia="黑体" w:cs="Times New Roman"/>
          <w:b w:val="0"/>
          <w:bCs w:val="0"/>
          <w:kern w:val="0"/>
          <w:sz w:val="28"/>
          <w:szCs w:val="28"/>
        </w:rPr>
        <w:t>8.4拓宽多元化投融资渠道</w:t>
      </w:r>
      <w:bookmarkEnd w:id="195"/>
    </w:p>
    <w:p w14:paraId="3C94CD5E">
      <w:pPr>
        <w:adjustRightInd w:val="0"/>
        <w:ind w:firstLine="560" w:firstLineChars="200"/>
        <w:rPr>
          <w:rFonts w:cs="Times New Roman"/>
          <w:sz w:val="28"/>
          <w:szCs w:val="24"/>
        </w:rPr>
      </w:pPr>
      <w:r>
        <w:rPr>
          <w:rFonts w:hint="eastAsia" w:cs="Times New Roman"/>
          <w:sz w:val="28"/>
          <w:szCs w:val="24"/>
        </w:rPr>
        <w:t>加大公共财政投入。水利作为财政投入的重点领域，坚持政府投资的主体地位，发挥财政资金的引导撬动作用。积极争取各级财政支持，完善各级财政补助机制，加大水利建设投入；积极配合有关部门严格水资源费、地方水利建设基金征收管理，积极运用地方政府债券支持符合条件的水利项目。</w:t>
      </w:r>
    </w:p>
    <w:p w14:paraId="3A1E4739">
      <w:pPr>
        <w:adjustRightInd w:val="0"/>
        <w:ind w:firstLine="560" w:firstLineChars="200"/>
        <w:rPr>
          <w:rFonts w:cs="Times New Roman"/>
          <w:sz w:val="28"/>
          <w:szCs w:val="24"/>
        </w:rPr>
      </w:pPr>
      <w:r>
        <w:rPr>
          <w:rFonts w:hint="eastAsia" w:cs="Times New Roman"/>
          <w:sz w:val="28"/>
          <w:szCs w:val="24"/>
        </w:rPr>
        <w:t>鼓励和引导社会资本投入。鼓励和引导社会资本投入，研究制定社会资本参与水利建设的管理办法，规范和完善社会资本通过PPP（政府与社会资本合作）等方式参与水网工程建设和运营。积极探索不动产投资信托基金（REITs）试点，充分利用好开发性、政策性金融支持水利建设相关政策，为水网工程建设筹措低成本、长期限的金融资金。</w:t>
      </w:r>
    </w:p>
    <w:p w14:paraId="440C7652">
      <w:pPr>
        <w:adjustRightInd w:val="0"/>
        <w:ind w:firstLine="560" w:firstLineChars="200"/>
        <w:rPr>
          <w:rFonts w:cs="Times New Roman"/>
          <w:sz w:val="28"/>
          <w:szCs w:val="24"/>
        </w:rPr>
      </w:pPr>
      <w:r>
        <w:rPr>
          <w:rFonts w:hint="eastAsia" w:cs="Times New Roman"/>
          <w:sz w:val="28"/>
          <w:szCs w:val="24"/>
        </w:rPr>
        <w:t>充分发挥市场机制作用，搭建水利融资平台，扩展社会资本投入范围，盘活优质资源，发挥水利工程综合效益。支持水利投资主体以城乡供水特许经营权以及原水、供水、污水处理等预期收益权作为质押担保，鼓励金融机构开发水权质押、抵押、担保、租赁等绿色金融产品，全方位吸引社会资本与金融资金投入。加快组建各级水网平台公司，盘活涉水存量资产和其他可开发资源，将经营收益、融资等用于重大水网工程建设。</w:t>
      </w:r>
    </w:p>
    <w:p w14:paraId="2D240BB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196" w:name="_Toc198652114"/>
      <w:r>
        <w:rPr>
          <w:rFonts w:hint="eastAsia" w:ascii="Times New Roman" w:hAnsi="Times New Roman" w:eastAsia="黑体" w:cs="Times New Roman"/>
          <w:b w:val="0"/>
          <w:bCs w:val="0"/>
          <w:kern w:val="0"/>
          <w:sz w:val="28"/>
          <w:szCs w:val="28"/>
        </w:rPr>
        <w:t>8.5建立健全风险防控机制</w:t>
      </w:r>
      <w:bookmarkEnd w:id="196"/>
    </w:p>
    <w:p w14:paraId="433EFB93">
      <w:pPr>
        <w:adjustRightInd w:val="0"/>
        <w:ind w:firstLine="560" w:firstLineChars="200"/>
        <w:rPr>
          <w:rFonts w:cs="Times New Roman"/>
          <w:sz w:val="28"/>
          <w:szCs w:val="24"/>
        </w:rPr>
      </w:pPr>
      <w:r>
        <w:rPr>
          <w:rFonts w:hint="eastAsia" w:cs="Times New Roman"/>
          <w:sz w:val="28"/>
          <w:szCs w:val="24"/>
        </w:rPr>
        <w:t>树牢底线思维、极限思维，加强水网建设运行管理全过程、全要素风险防控，科学完善应急预案，建立健全应急处置机制，全面提升重大风险防范和化解能力。</w:t>
      </w:r>
    </w:p>
    <w:p w14:paraId="596C3E83">
      <w:pPr>
        <w:adjustRightInd w:val="0"/>
        <w:ind w:firstLine="560" w:firstLineChars="200"/>
        <w:rPr>
          <w:rFonts w:cs="Times New Roman"/>
          <w:sz w:val="28"/>
          <w:szCs w:val="24"/>
        </w:rPr>
      </w:pPr>
      <w:r>
        <w:rPr>
          <w:rFonts w:hint="eastAsia" w:cs="Times New Roman"/>
          <w:sz w:val="28"/>
          <w:szCs w:val="24"/>
        </w:rPr>
        <w:t>建立风险隐患排查和源头控制机制。结合第一次全国自然灾害综合风险普查，辨识洪涝、干旱等重大灾害风险点和风险源。开展重点城镇山洪灾害调查评价，实行山洪灾害危险区动态管理。持续开展度汛安全隐患和薄弱环节排查整治，建立风险隐患台账。</w:t>
      </w:r>
    </w:p>
    <w:p w14:paraId="30285CD3">
      <w:pPr>
        <w:adjustRightInd w:val="0"/>
        <w:ind w:firstLine="560" w:firstLineChars="200"/>
        <w:rPr>
          <w:rFonts w:eastAsia="仿宋_GB2312" w:cs="Times New Roman"/>
          <w:sz w:val="28"/>
          <w:szCs w:val="28"/>
        </w:rPr>
        <w:sectPr>
          <w:headerReference r:id="rId18" w:type="default"/>
          <w:pgSz w:w="11906" w:h="16838"/>
          <w:pgMar w:top="1440" w:right="1800" w:bottom="1440" w:left="1800" w:header="851" w:footer="992" w:gutter="0"/>
          <w:cols w:space="425" w:num="1"/>
          <w:docGrid w:type="lines" w:linePitch="312" w:charSpace="0"/>
        </w:sectPr>
      </w:pPr>
      <w:r>
        <w:rPr>
          <w:rFonts w:hint="eastAsia" w:cs="Times New Roman"/>
          <w:sz w:val="28"/>
          <w:szCs w:val="24"/>
        </w:rPr>
        <w:t>健全风险防控和化解机制。建立跨流域、跨地区、跨部门水风险防控协同机制，共享风险信息、共同研判重大风险，协同推进落实防范化解重大安全风险各项措施。及时编制或修订超标准洪水、重大干旱等各类专项应急预案，着力防范化解风险。完善水网风险管控应急响应机制，提升水网风险事件救援能力。加强对公众的水危机教育，定期组织应急演练，强化应急救援物资储备。</w:t>
      </w:r>
      <w:bookmarkEnd w:id="189"/>
      <w:bookmarkStart w:id="197" w:name="_Toc127266605"/>
      <w:bookmarkStart w:id="198" w:name="_Toc105515769"/>
      <w:bookmarkStart w:id="199" w:name="_Toc134212732"/>
    </w:p>
    <w:p w14:paraId="1774D4EE">
      <w:pPr>
        <w:pStyle w:val="2"/>
        <w:widowControl/>
        <w:adjustRightInd w:val="0"/>
        <w:spacing w:before="0" w:after="0" w:line="360" w:lineRule="auto"/>
        <w:jc w:val="left"/>
        <w:rPr>
          <w:rFonts w:eastAsia="黑体" w:cs="Times New Roman"/>
          <w:b w:val="0"/>
          <w:bCs w:val="0"/>
          <w:color w:val="FF0000"/>
          <w:sz w:val="32"/>
          <w:szCs w:val="48"/>
        </w:rPr>
      </w:pPr>
      <w:bookmarkStart w:id="200" w:name="_Toc198652115"/>
      <w:r>
        <w:rPr>
          <w:rFonts w:eastAsia="黑体" w:cs="Times New Roman"/>
          <w:b w:val="0"/>
          <w:bCs w:val="0"/>
          <w:sz w:val="32"/>
          <w:szCs w:val="48"/>
        </w:rPr>
        <w:t>9</w:t>
      </w:r>
      <w:bookmarkEnd w:id="197"/>
      <w:bookmarkEnd w:id="198"/>
      <w:bookmarkEnd w:id="199"/>
      <w:r>
        <w:rPr>
          <w:rFonts w:hint="eastAsia" w:eastAsia="黑体" w:cs="Times New Roman"/>
          <w:b w:val="0"/>
          <w:bCs w:val="0"/>
          <w:sz w:val="32"/>
          <w:szCs w:val="48"/>
        </w:rPr>
        <w:t>重点项目与实施安排</w:t>
      </w:r>
      <w:bookmarkEnd w:id="200"/>
    </w:p>
    <w:p w14:paraId="781976B0">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01" w:name="_Toc198652116"/>
      <w:bookmarkStart w:id="202" w:name="_Toc109750853"/>
      <w:bookmarkStart w:id="203" w:name="_Toc127266606"/>
      <w:r>
        <w:rPr>
          <w:rFonts w:ascii="Times New Roman" w:hAnsi="Times New Roman" w:eastAsia="黑体" w:cs="Times New Roman"/>
          <w:b w:val="0"/>
          <w:bCs w:val="0"/>
          <w:kern w:val="0"/>
          <w:sz w:val="28"/>
          <w:szCs w:val="28"/>
        </w:rPr>
        <w:t>9.1</w:t>
      </w:r>
      <w:r>
        <w:rPr>
          <w:rFonts w:hint="eastAsia" w:ascii="Times New Roman" w:hAnsi="Times New Roman" w:eastAsia="黑体" w:cs="Times New Roman"/>
          <w:b w:val="0"/>
          <w:bCs w:val="0"/>
          <w:kern w:val="0"/>
          <w:sz w:val="28"/>
          <w:szCs w:val="28"/>
        </w:rPr>
        <w:t>重点项目</w:t>
      </w:r>
      <w:bookmarkEnd w:id="201"/>
    </w:p>
    <w:p w14:paraId="474E7975">
      <w:pPr>
        <w:widowControl/>
        <w:adjustRightInd w:val="0"/>
        <w:ind w:firstLine="560" w:firstLineChars="200"/>
        <w:rPr>
          <w:rFonts w:cs="Times New Roman"/>
          <w:sz w:val="28"/>
          <w:szCs w:val="28"/>
        </w:rPr>
      </w:pPr>
      <w:r>
        <w:rPr>
          <w:rFonts w:cs="Times New Roman"/>
          <w:sz w:val="28"/>
          <w:szCs w:val="28"/>
        </w:rPr>
        <w:t>按照“确有需要、生态安全、可以持续”的原则，围绕水网规划，统筹工程建设条件、前期工作基础等因素，重点建设一批事关全局、事关民生、事关长远的水网重大工程。推进深度节水控水能力提升、水资源优化配置能力提升、洪涝灾害防御能力提升、水生态保护治理能力提升、水网数字化智慧化能力提升，全面提升水安全保障能力。考虑工程规模、功能作用和在全区水网建设中的重要性，选取对流域、区域有重要影响，综合效益突出，建设需求迫切的工程，</w:t>
      </w:r>
      <w:r>
        <w:rPr>
          <w:rFonts w:hint="eastAsia" w:cs="Times New Roman"/>
          <w:sz w:val="28"/>
          <w:szCs w:val="28"/>
        </w:rPr>
        <w:t>在包头市</w:t>
      </w:r>
      <w:r>
        <w:rPr>
          <w:rFonts w:cs="Times New Roman"/>
          <w:sz w:val="28"/>
          <w:szCs w:val="28"/>
        </w:rPr>
        <w:t>水网建设六大重点工程</w:t>
      </w:r>
      <w:r>
        <w:rPr>
          <w:rFonts w:hint="eastAsia" w:cs="Times New Roman"/>
          <w:sz w:val="28"/>
          <w:szCs w:val="28"/>
        </w:rPr>
        <w:t>框架下开展</w:t>
      </w:r>
      <w:r>
        <w:rPr>
          <w:rFonts w:cs="Times New Roman"/>
          <w:sz w:val="28"/>
          <w:szCs w:val="28"/>
        </w:rPr>
        <w:t>九原区水网</w:t>
      </w:r>
      <w:r>
        <w:rPr>
          <w:rFonts w:hint="eastAsia" w:cs="Times New Roman"/>
          <w:sz w:val="28"/>
          <w:szCs w:val="28"/>
        </w:rPr>
        <w:t>建设</w:t>
      </w:r>
      <w:r>
        <w:rPr>
          <w:rFonts w:cs="Times New Roman"/>
          <w:sz w:val="28"/>
          <w:szCs w:val="28"/>
        </w:rPr>
        <w:t>。</w:t>
      </w:r>
    </w:p>
    <w:p w14:paraId="6AD47B7E">
      <w:pPr>
        <w:pStyle w:val="4"/>
        <w:widowControl/>
        <w:adjustRightInd w:val="0"/>
        <w:spacing w:before="0" w:after="0" w:line="360" w:lineRule="auto"/>
        <w:jc w:val="left"/>
        <w:rPr>
          <w:rFonts w:eastAsia="黑体" w:cs="Times New Roman"/>
          <w:b w:val="0"/>
          <w:bCs w:val="0"/>
          <w:kern w:val="0"/>
          <w:sz w:val="28"/>
          <w:szCs w:val="28"/>
        </w:rPr>
      </w:pPr>
      <w:bookmarkStart w:id="204" w:name="_Toc198652117"/>
      <w:r>
        <w:rPr>
          <w:rFonts w:hint="eastAsia" w:eastAsia="黑体" w:cs="Times New Roman"/>
          <w:b w:val="0"/>
          <w:bCs w:val="0"/>
          <w:kern w:val="0"/>
          <w:sz w:val="28"/>
          <w:szCs w:val="28"/>
        </w:rPr>
        <w:t>9.1.1节水控水</w:t>
      </w:r>
      <w:bookmarkEnd w:id="204"/>
    </w:p>
    <w:p w14:paraId="0AFA61CB">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高标准农田建设</w:t>
      </w:r>
    </w:p>
    <w:p w14:paraId="4286666A">
      <w:pPr>
        <w:widowControl/>
        <w:adjustRightInd w:val="0"/>
        <w:ind w:firstLine="560" w:firstLineChars="200"/>
        <w:rPr>
          <w:rFonts w:cs="Times New Roman"/>
          <w:sz w:val="28"/>
          <w:szCs w:val="28"/>
        </w:rPr>
      </w:pPr>
      <w:r>
        <w:rPr>
          <w:rFonts w:hint="eastAsia" w:cs="Times New Roman"/>
          <w:sz w:val="28"/>
          <w:szCs w:val="28"/>
        </w:rPr>
        <w:t>2022-2035年，按照永久基本农田全部建成高标准农田的目标要求，在现状21.1万亩高标准农田基础上，至2035达到32.38万亩，占耕地农田灌溉面积100%，实现高标准农田对永久基本农田的全覆盖。其中规划新建高标准农田11.28万亩，改造高标准农田18.15万亩，合计建成高标准农田32.38万亩。结合高标准农田新建高效节水灌溉面积18.89万亩，合计建成高效节水灌溉面积24.94万亩。</w:t>
      </w:r>
    </w:p>
    <w:p w14:paraId="41652372">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三湖河灌区续建配套与现代化改造工程</w:t>
      </w:r>
    </w:p>
    <w:p w14:paraId="600D94CB">
      <w:pPr>
        <w:widowControl/>
        <w:adjustRightInd w:val="0"/>
        <w:ind w:firstLine="560" w:firstLineChars="200"/>
        <w:rPr>
          <w:rFonts w:cs="Times New Roman"/>
          <w:sz w:val="28"/>
          <w:szCs w:val="28"/>
        </w:rPr>
      </w:pPr>
      <w:r>
        <w:rPr>
          <w:rFonts w:hint="eastAsia" w:cs="Times New Roman"/>
          <w:sz w:val="28"/>
          <w:szCs w:val="28"/>
        </w:rPr>
        <w:t>完成九原区三湖河灌区东大、五一、公济、公益四个支渠二级泵站改造，逐步推进其他灌区的节水配套改造项目。</w:t>
      </w:r>
    </w:p>
    <w:p w14:paraId="74928C07">
      <w:pPr>
        <w:pStyle w:val="4"/>
        <w:widowControl/>
        <w:adjustRightInd w:val="0"/>
        <w:spacing w:before="0" w:after="0" w:line="360" w:lineRule="auto"/>
        <w:jc w:val="left"/>
        <w:rPr>
          <w:rFonts w:eastAsia="黑体" w:cs="Times New Roman"/>
          <w:b w:val="0"/>
          <w:bCs w:val="0"/>
          <w:kern w:val="0"/>
          <w:sz w:val="28"/>
          <w:szCs w:val="28"/>
        </w:rPr>
      </w:pPr>
      <w:bookmarkStart w:id="205" w:name="_Toc198652118"/>
      <w:r>
        <w:rPr>
          <w:rFonts w:hint="eastAsia" w:eastAsia="黑体" w:cs="Times New Roman"/>
          <w:b w:val="0"/>
          <w:bCs w:val="0"/>
          <w:kern w:val="0"/>
          <w:sz w:val="28"/>
          <w:szCs w:val="28"/>
        </w:rPr>
        <w:t>9.1.2水资源配置与保障</w:t>
      </w:r>
      <w:bookmarkEnd w:id="205"/>
    </w:p>
    <w:p w14:paraId="40DD33C7">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1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⑴</w:t>
      </w:r>
      <w:r>
        <w:rPr>
          <w:rFonts w:ascii="Cambria Math" w:hAnsi="Cambria Math" w:cs="Cambria Math"/>
          <w:b/>
          <w:bCs/>
          <w:kern w:val="0"/>
          <w:sz w:val="28"/>
          <w:szCs w:val="28"/>
        </w:rPr>
        <w:fldChar w:fldCharType="end"/>
      </w:r>
      <w:r>
        <w:rPr>
          <w:rFonts w:ascii="Cambria Math" w:hAnsi="Cambria Math" w:cs="Cambria Math"/>
          <w:b/>
          <w:bCs/>
          <w:kern w:val="0"/>
          <w:sz w:val="28"/>
          <w:szCs w:val="28"/>
        </w:rPr>
        <w:t>九原区哈业胡同镇南部集中供水村网改造</w:t>
      </w:r>
    </w:p>
    <w:p w14:paraId="01181E4E">
      <w:pPr>
        <w:widowControl/>
        <w:adjustRightInd w:val="0"/>
        <w:ind w:firstLine="560" w:firstLineChars="200"/>
        <w:rPr>
          <w:rFonts w:cs="Times New Roman"/>
          <w:kern w:val="0"/>
          <w:sz w:val="28"/>
          <w:szCs w:val="28"/>
        </w:rPr>
      </w:pPr>
      <w:r>
        <w:rPr>
          <w:rFonts w:cs="Times New Roman"/>
          <w:kern w:val="0"/>
          <w:sz w:val="28"/>
          <w:szCs w:val="28"/>
        </w:rPr>
        <w:t>铺设输配水管线200</w:t>
      </w:r>
      <w:r>
        <w:rPr>
          <w:rFonts w:hint="eastAsia" w:cs="Times New Roman"/>
          <w:kern w:val="0"/>
          <w:sz w:val="28"/>
          <w:szCs w:val="28"/>
        </w:rPr>
        <w:t>km</w:t>
      </w:r>
      <w:r>
        <w:rPr>
          <w:rFonts w:cs="Times New Roman"/>
          <w:kern w:val="0"/>
          <w:sz w:val="28"/>
          <w:szCs w:val="28"/>
        </w:rPr>
        <w:t>，解决44个自然村村网老旧问题。</w:t>
      </w:r>
    </w:p>
    <w:p w14:paraId="154F54FB">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2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⑵</w:t>
      </w:r>
      <w:r>
        <w:rPr>
          <w:rFonts w:ascii="Cambria Math" w:hAnsi="Cambria Math" w:cs="Cambria Math"/>
          <w:b/>
          <w:bCs/>
          <w:kern w:val="0"/>
          <w:sz w:val="28"/>
          <w:szCs w:val="28"/>
        </w:rPr>
        <w:fldChar w:fldCharType="end"/>
      </w:r>
      <w:r>
        <w:rPr>
          <w:rFonts w:ascii="Cambria Math" w:hAnsi="Cambria Math" w:cs="Cambria Math"/>
          <w:b/>
          <w:bCs/>
          <w:kern w:val="0"/>
          <w:sz w:val="28"/>
          <w:szCs w:val="28"/>
        </w:rPr>
        <w:t>九原区哈业胡同北部集中供水村网改造工程</w:t>
      </w:r>
    </w:p>
    <w:p w14:paraId="1F7BCEF8">
      <w:pPr>
        <w:widowControl/>
        <w:adjustRightInd w:val="0"/>
        <w:ind w:firstLine="560" w:firstLineChars="200"/>
        <w:rPr>
          <w:rFonts w:cs="Times New Roman"/>
          <w:kern w:val="0"/>
          <w:sz w:val="28"/>
          <w:szCs w:val="28"/>
        </w:rPr>
      </w:pPr>
      <w:r>
        <w:rPr>
          <w:rFonts w:cs="Times New Roman"/>
          <w:kern w:val="0"/>
          <w:sz w:val="28"/>
          <w:szCs w:val="28"/>
        </w:rPr>
        <w:t>主要对列入供水范围的12个自然村村网进行更新，入户数为2672户。</w:t>
      </w:r>
    </w:p>
    <w:p w14:paraId="6BBFBE65">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3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⑶</w:t>
      </w:r>
      <w:r>
        <w:rPr>
          <w:rFonts w:ascii="Cambria Math" w:hAnsi="Cambria Math" w:cs="Cambria Math"/>
          <w:b/>
          <w:bCs/>
          <w:kern w:val="0"/>
          <w:sz w:val="28"/>
          <w:szCs w:val="28"/>
        </w:rPr>
        <w:fldChar w:fldCharType="end"/>
      </w:r>
      <w:r>
        <w:rPr>
          <w:rFonts w:ascii="Cambria Math" w:hAnsi="Cambria Math" w:cs="Cambria Math"/>
          <w:b/>
          <w:bCs/>
          <w:kern w:val="0"/>
          <w:sz w:val="28"/>
          <w:szCs w:val="28"/>
        </w:rPr>
        <w:t>哈林格尔镇西片集中供水保障工程</w:t>
      </w:r>
    </w:p>
    <w:p w14:paraId="35F81706">
      <w:pPr>
        <w:widowControl/>
        <w:adjustRightInd w:val="0"/>
        <w:ind w:firstLine="560" w:firstLineChars="200"/>
        <w:rPr>
          <w:rFonts w:cs="Times New Roman"/>
          <w:kern w:val="0"/>
          <w:sz w:val="28"/>
          <w:szCs w:val="28"/>
        </w:rPr>
      </w:pPr>
      <w:r>
        <w:rPr>
          <w:rFonts w:cs="Times New Roman"/>
          <w:kern w:val="0"/>
          <w:sz w:val="28"/>
          <w:szCs w:val="28"/>
        </w:rPr>
        <w:t>铺设管道29.4km</w:t>
      </w:r>
      <w:r>
        <w:rPr>
          <w:rFonts w:hint="eastAsia" w:cs="Times New Roman"/>
          <w:kern w:val="0"/>
          <w:sz w:val="28"/>
          <w:szCs w:val="28"/>
        </w:rPr>
        <w:t>，</w:t>
      </w:r>
      <w:r>
        <w:rPr>
          <w:rFonts w:cs="Times New Roman"/>
          <w:kern w:val="0"/>
          <w:sz w:val="28"/>
          <w:szCs w:val="28"/>
        </w:rPr>
        <w:t>配套附属设施。</w:t>
      </w:r>
    </w:p>
    <w:p w14:paraId="099819D3">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4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⑷</w:t>
      </w:r>
      <w:r>
        <w:rPr>
          <w:rFonts w:ascii="Cambria Math" w:hAnsi="Cambria Math" w:cs="Cambria Math"/>
          <w:b/>
          <w:bCs/>
          <w:kern w:val="0"/>
          <w:sz w:val="28"/>
          <w:szCs w:val="28"/>
        </w:rPr>
        <w:fldChar w:fldCharType="end"/>
      </w:r>
      <w:r>
        <w:rPr>
          <w:rFonts w:ascii="Cambria Math" w:hAnsi="Cambria Math" w:cs="Cambria Math"/>
          <w:b/>
          <w:bCs/>
          <w:kern w:val="0"/>
          <w:sz w:val="28"/>
          <w:szCs w:val="28"/>
        </w:rPr>
        <w:t>哈林格尔镇北片集中供水保障工程</w:t>
      </w:r>
    </w:p>
    <w:p w14:paraId="2B23628F">
      <w:pPr>
        <w:widowControl/>
        <w:adjustRightInd w:val="0"/>
        <w:ind w:firstLine="560" w:firstLineChars="200"/>
        <w:rPr>
          <w:rFonts w:cs="Times New Roman"/>
          <w:kern w:val="0"/>
          <w:sz w:val="28"/>
          <w:szCs w:val="28"/>
        </w:rPr>
      </w:pPr>
      <w:r>
        <w:rPr>
          <w:rFonts w:cs="Times New Roman"/>
          <w:kern w:val="0"/>
          <w:sz w:val="28"/>
          <w:szCs w:val="28"/>
        </w:rPr>
        <w:t>工程主要对水厂及输配水主管网进行建设，解决12327人的饮水安全问题。</w:t>
      </w:r>
    </w:p>
    <w:p w14:paraId="0788D68E">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5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⑸</w:t>
      </w:r>
      <w:r>
        <w:rPr>
          <w:rFonts w:ascii="Cambria Math" w:hAnsi="Cambria Math" w:cs="Cambria Math"/>
          <w:b/>
          <w:bCs/>
          <w:kern w:val="0"/>
          <w:sz w:val="28"/>
          <w:szCs w:val="28"/>
        </w:rPr>
        <w:fldChar w:fldCharType="end"/>
      </w:r>
      <w:r>
        <w:rPr>
          <w:rFonts w:ascii="Cambria Math" w:hAnsi="Cambria Math" w:cs="Cambria Math"/>
          <w:b/>
          <w:bCs/>
          <w:kern w:val="0"/>
          <w:sz w:val="28"/>
          <w:szCs w:val="28"/>
        </w:rPr>
        <w:t>包头市九原区推进县域统管水厂标准化改造工程</w:t>
      </w:r>
    </w:p>
    <w:p w14:paraId="279BA775">
      <w:pPr>
        <w:widowControl/>
        <w:adjustRightInd w:val="0"/>
        <w:ind w:firstLine="560" w:firstLineChars="200"/>
        <w:rPr>
          <w:rFonts w:cs="Times New Roman"/>
          <w:kern w:val="0"/>
          <w:sz w:val="28"/>
          <w:szCs w:val="28"/>
        </w:rPr>
      </w:pPr>
      <w:r>
        <w:rPr>
          <w:rFonts w:cs="Times New Roman"/>
          <w:kern w:val="0"/>
          <w:sz w:val="28"/>
          <w:szCs w:val="28"/>
        </w:rPr>
        <w:t>推进农村牧区供水工程县域统一管理，涉及麻池水厂、萨如拉水厂及哈业胡同水厂等三处水厂。</w:t>
      </w:r>
    </w:p>
    <w:p w14:paraId="1973EAE1">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6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⑹</w:t>
      </w:r>
      <w:r>
        <w:rPr>
          <w:rFonts w:ascii="Cambria Math" w:hAnsi="Cambria Math" w:cs="Cambria Math"/>
          <w:b/>
          <w:bCs/>
          <w:kern w:val="0"/>
          <w:sz w:val="28"/>
          <w:szCs w:val="28"/>
        </w:rPr>
        <w:fldChar w:fldCharType="end"/>
      </w:r>
      <w:r>
        <w:rPr>
          <w:rFonts w:ascii="Cambria Math" w:hAnsi="Cambria Math" w:cs="Cambria Math"/>
          <w:b/>
          <w:bCs/>
          <w:kern w:val="0"/>
          <w:sz w:val="28"/>
          <w:szCs w:val="28"/>
        </w:rPr>
        <w:t>白音席勒接入市政管网工程</w:t>
      </w:r>
    </w:p>
    <w:p w14:paraId="0F067622">
      <w:pPr>
        <w:widowControl/>
        <w:adjustRightInd w:val="0"/>
        <w:ind w:firstLine="560" w:firstLineChars="200"/>
        <w:rPr>
          <w:rFonts w:cs="Times New Roman"/>
          <w:b/>
          <w:bCs/>
          <w:sz w:val="28"/>
          <w:szCs w:val="28"/>
        </w:rPr>
      </w:pPr>
      <w:r>
        <w:rPr>
          <w:rFonts w:cs="Times New Roman"/>
          <w:kern w:val="0"/>
          <w:sz w:val="28"/>
          <w:szCs w:val="28"/>
        </w:rPr>
        <w:t>铺设管道15.4km，配套附属设施。</w:t>
      </w:r>
    </w:p>
    <w:p w14:paraId="05EEB944">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7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⑺</w:t>
      </w:r>
      <w:r>
        <w:rPr>
          <w:rFonts w:ascii="Cambria Math" w:hAnsi="Cambria Math" w:cs="Cambria Math"/>
          <w:b/>
          <w:bCs/>
          <w:kern w:val="0"/>
          <w:sz w:val="28"/>
          <w:szCs w:val="28"/>
        </w:rPr>
        <w:fldChar w:fldCharType="end"/>
      </w:r>
      <w:r>
        <w:rPr>
          <w:rFonts w:ascii="Cambria Math" w:hAnsi="Cambria Math" w:cs="Cambria Math"/>
          <w:b/>
          <w:bCs/>
          <w:kern w:val="0"/>
          <w:sz w:val="28"/>
          <w:szCs w:val="28"/>
        </w:rPr>
        <w:t>九原区麻池镇古城村农村牧区供水保障工程</w:t>
      </w:r>
    </w:p>
    <w:p w14:paraId="3246210C">
      <w:pPr>
        <w:widowControl/>
        <w:adjustRightInd w:val="0"/>
        <w:ind w:firstLine="560" w:firstLineChars="200"/>
        <w:rPr>
          <w:rFonts w:cs="Times New Roman"/>
          <w:kern w:val="0"/>
          <w:sz w:val="28"/>
          <w:szCs w:val="28"/>
        </w:rPr>
      </w:pPr>
      <w:r>
        <w:rPr>
          <w:rFonts w:cs="Times New Roman"/>
          <w:kern w:val="0"/>
          <w:sz w:val="28"/>
          <w:szCs w:val="28"/>
        </w:rPr>
        <w:t>新建22.5m²井1座，配套潜水泵1套、20kw远程自动控制变频柜1套，安装电磁流量计1套、压力传感器1套、次氯酸钠发生器1套，铺设输配水管网20054m(PE管)，安装智能电子水表648套。</w:t>
      </w:r>
    </w:p>
    <w:p w14:paraId="2468B513">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8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⑻</w:t>
      </w:r>
      <w:r>
        <w:rPr>
          <w:rFonts w:cs="Times New Roman"/>
          <w:b/>
          <w:bCs/>
          <w:sz w:val="28"/>
          <w:szCs w:val="28"/>
        </w:rPr>
        <w:fldChar w:fldCharType="end"/>
      </w:r>
      <w:r>
        <w:rPr>
          <w:rFonts w:hint="eastAsia" w:cs="Times New Roman"/>
          <w:b/>
          <w:bCs/>
          <w:sz w:val="28"/>
          <w:szCs w:val="28"/>
        </w:rPr>
        <w:t>三湖河中型灌区盐碱地排水系统改造</w:t>
      </w:r>
    </w:p>
    <w:p w14:paraId="35F6096E">
      <w:pPr>
        <w:widowControl/>
        <w:adjustRightInd w:val="0"/>
        <w:ind w:firstLine="560" w:firstLineChars="200"/>
      </w:pPr>
      <w:r>
        <w:rPr>
          <w:rFonts w:hint="eastAsia" w:cs="Times New Roman"/>
          <w:sz w:val="28"/>
          <w:szCs w:val="28"/>
        </w:rPr>
        <w:t>至规划水平年2035年，对九原区4.2万亩盐碱地进行灌区骨干排水沟建设。</w:t>
      </w:r>
    </w:p>
    <w:p w14:paraId="3512E11B">
      <w:pPr>
        <w:pStyle w:val="4"/>
        <w:widowControl/>
        <w:adjustRightInd w:val="0"/>
        <w:spacing w:before="0" w:after="0" w:line="360" w:lineRule="auto"/>
        <w:jc w:val="left"/>
        <w:rPr>
          <w:rFonts w:eastAsia="黑体" w:cs="Times New Roman"/>
          <w:b w:val="0"/>
          <w:bCs w:val="0"/>
          <w:kern w:val="0"/>
          <w:sz w:val="28"/>
          <w:szCs w:val="28"/>
        </w:rPr>
      </w:pPr>
      <w:bookmarkStart w:id="206" w:name="_Toc198652119"/>
      <w:r>
        <w:rPr>
          <w:rFonts w:hint="eastAsia" w:eastAsia="黑体" w:cs="Times New Roman"/>
          <w:b w:val="0"/>
          <w:bCs w:val="0"/>
          <w:kern w:val="0"/>
          <w:sz w:val="28"/>
          <w:szCs w:val="28"/>
        </w:rPr>
        <w:t>9.1.3流域防洪排涝减灾</w:t>
      </w:r>
      <w:bookmarkEnd w:id="206"/>
    </w:p>
    <w:p w14:paraId="2C3E823A">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1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⑴</w:t>
      </w:r>
      <w:r>
        <w:rPr>
          <w:rFonts w:ascii="Cambria Math" w:hAnsi="Cambria Math" w:cs="Cambria Math"/>
          <w:b/>
          <w:bCs/>
          <w:kern w:val="0"/>
          <w:sz w:val="28"/>
          <w:szCs w:val="28"/>
        </w:rPr>
        <w:fldChar w:fldCharType="end"/>
      </w:r>
      <w:r>
        <w:rPr>
          <w:rFonts w:hint="eastAsia" w:ascii="Cambria Math" w:hAnsi="Cambria Math" w:cs="Cambria Math"/>
          <w:b/>
          <w:bCs/>
          <w:kern w:val="0"/>
          <w:sz w:val="28"/>
          <w:szCs w:val="28"/>
        </w:rPr>
        <w:t>主城区中小河流治理</w:t>
      </w:r>
    </w:p>
    <w:p w14:paraId="7516BA44">
      <w:pPr>
        <w:widowControl/>
        <w:adjustRightInd w:val="0"/>
        <w:ind w:firstLine="560" w:firstLineChars="200"/>
        <w:rPr>
          <w:rFonts w:cs="Times New Roman"/>
          <w:kern w:val="0"/>
          <w:sz w:val="28"/>
          <w:szCs w:val="28"/>
        </w:rPr>
      </w:pPr>
      <w:r>
        <w:rPr>
          <w:rFonts w:hint="eastAsia" w:cs="Times New Roman"/>
          <w:kern w:val="0"/>
          <w:sz w:val="28"/>
          <w:szCs w:val="28"/>
        </w:rPr>
        <w:t>哈德门沟河道治理工程、昆都仑河河道治理工程和四道沙河河道治理工程。</w:t>
      </w:r>
    </w:p>
    <w:p w14:paraId="1E605071">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2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⑵</w:t>
      </w:r>
      <w:r>
        <w:rPr>
          <w:rFonts w:ascii="Cambria Math" w:hAnsi="Cambria Math" w:cs="Cambria Math"/>
          <w:b/>
          <w:bCs/>
          <w:kern w:val="0"/>
          <w:sz w:val="28"/>
          <w:szCs w:val="28"/>
        </w:rPr>
        <w:fldChar w:fldCharType="end"/>
      </w:r>
      <w:r>
        <w:rPr>
          <w:rFonts w:hint="eastAsia" w:ascii="Cambria Math" w:hAnsi="Cambria Math" w:cs="Cambria Math"/>
          <w:b/>
          <w:bCs/>
          <w:kern w:val="0"/>
          <w:sz w:val="28"/>
          <w:szCs w:val="28"/>
        </w:rPr>
        <w:t>山洪沟治理工程</w:t>
      </w:r>
    </w:p>
    <w:p w14:paraId="6FFABBAA">
      <w:pPr>
        <w:widowControl/>
        <w:adjustRightInd w:val="0"/>
        <w:ind w:firstLine="560" w:firstLineChars="200"/>
        <w:rPr>
          <w:rFonts w:cs="Times New Roman"/>
          <w:kern w:val="0"/>
          <w:sz w:val="28"/>
          <w:szCs w:val="28"/>
        </w:rPr>
      </w:pPr>
      <w:r>
        <w:rPr>
          <w:rFonts w:hint="eastAsia" w:cs="Times New Roman"/>
          <w:sz w:val="28"/>
          <w:szCs w:val="28"/>
        </w:rPr>
        <w:t>规划2026-2035年对九原区以下沟道进行治理工程：哈德门沟左岸新建堤防1.934km，左岸加固堤防3.459km，右岸新建堤防5.474km，右岸加固堤防3.459km，河道疏浚8.933km；梅力更沟新建堤防左右岸各7.149km，河道疏浚7.149km；乌兰不浪沟新建堤防左右岸各2.856km，河道疏浚2.856km；大坝沟新建堤防左右岸各2.71km，河道疏浚2.71km；白石头沟新建堤防左右岸各2.943km，河道疏浚2.943km；虎贲亥沟左岸新建堤防0.5km，河道疏浚0.5km。</w:t>
      </w:r>
    </w:p>
    <w:p w14:paraId="30528653">
      <w:pPr>
        <w:pStyle w:val="4"/>
        <w:widowControl/>
        <w:adjustRightInd w:val="0"/>
        <w:spacing w:before="0" w:after="0" w:line="360" w:lineRule="auto"/>
        <w:jc w:val="left"/>
        <w:rPr>
          <w:rFonts w:eastAsia="黑体" w:cs="Times New Roman"/>
          <w:b w:val="0"/>
          <w:bCs w:val="0"/>
          <w:kern w:val="0"/>
          <w:sz w:val="28"/>
          <w:szCs w:val="28"/>
        </w:rPr>
      </w:pPr>
      <w:bookmarkStart w:id="207" w:name="_Toc198652120"/>
      <w:r>
        <w:rPr>
          <w:rFonts w:hint="eastAsia" w:eastAsia="黑体" w:cs="Times New Roman"/>
          <w:b w:val="0"/>
          <w:bCs w:val="0"/>
          <w:kern w:val="0"/>
          <w:sz w:val="28"/>
          <w:szCs w:val="28"/>
        </w:rPr>
        <w:t>9.1.4水生态保护治理</w:t>
      </w:r>
      <w:bookmarkEnd w:id="207"/>
    </w:p>
    <w:p w14:paraId="0446B6F9">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1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⑴</w:t>
      </w:r>
      <w:r>
        <w:rPr>
          <w:rFonts w:ascii="Cambria Math" w:hAnsi="Cambria Math" w:cs="Cambria Math"/>
          <w:b/>
          <w:bCs/>
          <w:kern w:val="0"/>
          <w:sz w:val="28"/>
          <w:szCs w:val="28"/>
        </w:rPr>
        <w:fldChar w:fldCharType="end"/>
      </w:r>
      <w:r>
        <w:rPr>
          <w:rFonts w:ascii="Cambria Math" w:hAnsi="Cambria Math" w:cs="Cambria Math"/>
          <w:b/>
          <w:bCs/>
          <w:kern w:val="0"/>
          <w:sz w:val="28"/>
          <w:szCs w:val="28"/>
        </w:rPr>
        <w:t>九原区小流域综合治理工程</w:t>
      </w:r>
    </w:p>
    <w:p w14:paraId="533B82CE">
      <w:pPr>
        <w:widowControl/>
        <w:adjustRightInd w:val="0"/>
        <w:ind w:firstLine="560" w:firstLineChars="200"/>
        <w:rPr>
          <w:rFonts w:cs="Times New Roman"/>
          <w:sz w:val="28"/>
          <w:szCs w:val="28"/>
        </w:rPr>
      </w:pPr>
      <w:r>
        <w:rPr>
          <w:rFonts w:cs="Times New Roman"/>
          <w:sz w:val="28"/>
          <w:szCs w:val="28"/>
        </w:rPr>
        <w:t>治理水土流失面积</w:t>
      </w:r>
      <w:r>
        <w:rPr>
          <w:rFonts w:hint="eastAsia" w:cs="Times New Roman"/>
          <w:sz w:val="28"/>
          <w:szCs w:val="28"/>
        </w:rPr>
        <w:t>18</w:t>
      </w:r>
      <w:r>
        <w:rPr>
          <w:rFonts w:cs="Times New Roman"/>
          <w:sz w:val="28"/>
          <w:szCs w:val="28"/>
        </w:rPr>
        <w:t>0km</w:t>
      </w:r>
      <w:r>
        <w:rPr>
          <w:rFonts w:cs="Times New Roman"/>
          <w:sz w:val="28"/>
          <w:szCs w:val="28"/>
          <w:vertAlign w:val="superscript"/>
        </w:rPr>
        <w:t>2</w:t>
      </w:r>
      <w:r>
        <w:rPr>
          <w:rFonts w:cs="Times New Roman"/>
          <w:sz w:val="28"/>
          <w:szCs w:val="28"/>
        </w:rPr>
        <w:t>。规划2035年之后完成建设内容。</w:t>
      </w:r>
    </w:p>
    <w:p w14:paraId="654D42AE">
      <w:pPr>
        <w:widowControl/>
        <w:adjustRightInd w:val="0"/>
        <w:ind w:firstLine="562" w:firstLineChars="200"/>
        <w:rPr>
          <w:rFonts w:ascii="Cambria Math" w:hAnsi="Cambria Math" w:cs="Cambria Math"/>
          <w:b/>
          <w:bCs/>
          <w:kern w:val="0"/>
          <w:sz w:val="28"/>
          <w:szCs w:val="28"/>
        </w:rPr>
      </w:pPr>
      <w:r>
        <w:rPr>
          <w:rFonts w:ascii="Cambria Math" w:hAnsi="Cambria Math" w:cs="Cambria Math"/>
          <w:b/>
          <w:bCs/>
          <w:kern w:val="0"/>
          <w:sz w:val="28"/>
          <w:szCs w:val="28"/>
        </w:rPr>
        <w:fldChar w:fldCharType="begin"/>
      </w:r>
      <w:r>
        <w:rPr>
          <w:rFonts w:ascii="Cambria Math" w:hAnsi="Cambria Math" w:cs="Cambria Math"/>
          <w:b/>
          <w:bCs/>
          <w:kern w:val="0"/>
          <w:sz w:val="28"/>
          <w:szCs w:val="28"/>
        </w:rPr>
        <w:instrText xml:space="preserve"> </w:instrText>
      </w:r>
      <w:r>
        <w:rPr>
          <w:rFonts w:hint="eastAsia" w:ascii="Cambria Math" w:hAnsi="Cambria Math" w:cs="Cambria Math"/>
          <w:b/>
          <w:bCs/>
          <w:kern w:val="0"/>
          <w:sz w:val="28"/>
          <w:szCs w:val="28"/>
        </w:rPr>
        <w:instrText xml:space="preserve">= 2 \* GB2</w:instrText>
      </w:r>
      <w:r>
        <w:rPr>
          <w:rFonts w:ascii="Cambria Math" w:hAnsi="Cambria Math" w:cs="Cambria Math"/>
          <w:b/>
          <w:bCs/>
          <w:kern w:val="0"/>
          <w:sz w:val="28"/>
          <w:szCs w:val="28"/>
        </w:rPr>
        <w:instrText xml:space="preserve"> </w:instrText>
      </w:r>
      <w:r>
        <w:rPr>
          <w:rFonts w:ascii="Cambria Math" w:hAnsi="Cambria Math" w:cs="Cambria Math"/>
          <w:b/>
          <w:bCs/>
          <w:kern w:val="0"/>
          <w:sz w:val="28"/>
          <w:szCs w:val="28"/>
        </w:rPr>
        <w:fldChar w:fldCharType="separate"/>
      </w:r>
      <w:r>
        <w:rPr>
          <w:rFonts w:hint="eastAsia" w:ascii="Cambria Math" w:hAnsi="Cambria Math" w:cs="Cambria Math"/>
          <w:b/>
          <w:bCs/>
          <w:kern w:val="0"/>
          <w:sz w:val="28"/>
          <w:szCs w:val="28"/>
        </w:rPr>
        <w:t>⑵</w:t>
      </w:r>
      <w:r>
        <w:rPr>
          <w:rFonts w:ascii="Cambria Math" w:hAnsi="Cambria Math" w:cs="Cambria Math"/>
          <w:b/>
          <w:bCs/>
          <w:kern w:val="0"/>
          <w:sz w:val="28"/>
          <w:szCs w:val="28"/>
        </w:rPr>
        <w:fldChar w:fldCharType="end"/>
      </w:r>
      <w:r>
        <w:rPr>
          <w:rFonts w:hint="eastAsia" w:ascii="Cambria Math" w:hAnsi="Cambria Math" w:cs="Cambria Math"/>
          <w:b/>
          <w:bCs/>
          <w:kern w:val="0"/>
          <w:sz w:val="28"/>
          <w:szCs w:val="28"/>
        </w:rPr>
        <w:t>水源地保护工程</w:t>
      </w:r>
    </w:p>
    <w:p w14:paraId="209CD003">
      <w:pPr>
        <w:widowControl/>
        <w:adjustRightInd w:val="0"/>
        <w:ind w:firstLine="560" w:firstLineChars="200"/>
        <w:rPr>
          <w:rFonts w:cs="Times New Roman"/>
          <w:sz w:val="28"/>
          <w:szCs w:val="28"/>
        </w:rPr>
      </w:pPr>
      <w:r>
        <w:rPr>
          <w:rFonts w:hint="eastAsia" w:cs="Times New Roman"/>
          <w:kern w:val="0"/>
          <w:sz w:val="28"/>
          <w:szCs w:val="28"/>
        </w:rPr>
        <w:t>水源地一级保护区边界隔离保护工程；全区乡镇所在地水源地保护工程；小白河水源地源动态监测工程；农灌区实施地下水治理与保护项目。</w:t>
      </w:r>
    </w:p>
    <w:p w14:paraId="31711F8E">
      <w:pPr>
        <w:pStyle w:val="4"/>
        <w:widowControl/>
        <w:adjustRightInd w:val="0"/>
        <w:spacing w:before="0" w:after="0" w:line="360" w:lineRule="auto"/>
        <w:jc w:val="left"/>
        <w:rPr>
          <w:rFonts w:eastAsia="黑体" w:cs="Times New Roman"/>
          <w:b w:val="0"/>
          <w:bCs w:val="0"/>
          <w:kern w:val="0"/>
          <w:sz w:val="28"/>
          <w:szCs w:val="28"/>
        </w:rPr>
      </w:pPr>
      <w:bookmarkStart w:id="208" w:name="_Toc198652121"/>
      <w:r>
        <w:rPr>
          <w:rFonts w:hint="eastAsia" w:eastAsia="黑体" w:cs="Times New Roman"/>
          <w:b w:val="0"/>
          <w:bCs w:val="0"/>
          <w:kern w:val="0"/>
          <w:sz w:val="28"/>
          <w:szCs w:val="28"/>
        </w:rPr>
        <w:t>9.1.5数字孪生水网建设</w:t>
      </w:r>
      <w:bookmarkEnd w:id="208"/>
    </w:p>
    <w:p w14:paraId="37238E46">
      <w:pPr>
        <w:widowControl/>
        <w:adjustRightInd w:val="0"/>
        <w:ind w:firstLine="560" w:firstLineChars="200"/>
      </w:pPr>
      <w:r>
        <w:rPr>
          <w:rFonts w:hint="eastAsia" w:cs="Times New Roman"/>
          <w:sz w:val="28"/>
          <w:szCs w:val="28"/>
        </w:rPr>
        <w:t>结合九原区水网实际需求和已有信息化资源建设使用情况，以水网联合调度决策应用为核心，开展九原区数字孪生水网建设，上衔市级水网，逐步完善全区水网信息化基础设施，补齐水利信息化短板，全面提升水网智慧化调度管理水平。</w:t>
      </w:r>
    </w:p>
    <w:p w14:paraId="24C9FB6D">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09" w:name="_Toc198652122"/>
      <w:r>
        <w:rPr>
          <w:rFonts w:hint="eastAsia" w:ascii="Times New Roman" w:hAnsi="Times New Roman" w:eastAsia="黑体" w:cs="Times New Roman"/>
          <w:b w:val="0"/>
          <w:bCs w:val="0"/>
          <w:kern w:val="0"/>
          <w:sz w:val="28"/>
          <w:szCs w:val="28"/>
        </w:rPr>
        <w:t>9.2总投资匡算与实施安排</w:t>
      </w:r>
      <w:bookmarkEnd w:id="209"/>
    </w:p>
    <w:p w14:paraId="7847C37A">
      <w:pPr>
        <w:widowControl/>
        <w:adjustRightInd w:val="0"/>
        <w:ind w:firstLine="560" w:firstLineChars="200"/>
        <w:rPr>
          <w:rFonts w:cs="Times New Roman"/>
          <w:sz w:val="28"/>
          <w:szCs w:val="28"/>
        </w:rPr>
        <w:sectPr>
          <w:headerReference r:id="rId19" w:type="default"/>
          <w:pgSz w:w="11906" w:h="16838"/>
          <w:pgMar w:top="1440" w:right="1800" w:bottom="1440" w:left="1800" w:header="851" w:footer="992" w:gutter="0"/>
          <w:cols w:space="425" w:num="1"/>
          <w:docGrid w:type="lines" w:linePitch="312" w:charSpace="0"/>
        </w:sectPr>
      </w:pPr>
      <w:r>
        <w:rPr>
          <w:rFonts w:hint="eastAsia" w:cs="Times New Roman"/>
          <w:sz w:val="28"/>
          <w:szCs w:val="28"/>
        </w:rPr>
        <w:t>规划总投资约16.93亿元，包括五部分共11项工程，其中节水控水</w:t>
      </w:r>
      <w:r>
        <w:rPr>
          <w:rFonts w:cs="Times New Roman"/>
          <w:sz w:val="28"/>
          <w:szCs w:val="28"/>
        </w:rPr>
        <w:t>建设工程</w:t>
      </w:r>
      <w:r>
        <w:rPr>
          <w:rFonts w:hint="eastAsia" w:cs="Times New Roman"/>
          <w:sz w:val="28"/>
          <w:szCs w:val="28"/>
        </w:rPr>
        <w:t>约3.22亿元，占总投资的19.02%；水资源配置与保障</w:t>
      </w:r>
      <w:r>
        <w:rPr>
          <w:rFonts w:cs="Times New Roman"/>
          <w:sz w:val="28"/>
          <w:szCs w:val="28"/>
        </w:rPr>
        <w:t>工程</w:t>
      </w:r>
      <w:r>
        <w:rPr>
          <w:rFonts w:hint="eastAsia" w:cs="Times New Roman"/>
          <w:sz w:val="28"/>
          <w:szCs w:val="28"/>
        </w:rPr>
        <w:t>约2.91亿元，占总投资的17.19%；水生态保护治理</w:t>
      </w:r>
      <w:r>
        <w:rPr>
          <w:rFonts w:cs="Times New Roman"/>
          <w:sz w:val="28"/>
          <w:szCs w:val="28"/>
        </w:rPr>
        <w:t>工程</w:t>
      </w:r>
      <w:r>
        <w:rPr>
          <w:rFonts w:hint="eastAsia" w:cs="Times New Roman"/>
          <w:sz w:val="28"/>
          <w:szCs w:val="28"/>
        </w:rPr>
        <w:t>约2.8亿元，占总投资的16.54%；流域防洪排涝减灾</w:t>
      </w:r>
      <w:r>
        <w:rPr>
          <w:rFonts w:cs="Times New Roman"/>
          <w:sz w:val="28"/>
          <w:szCs w:val="28"/>
        </w:rPr>
        <w:t>建设工程</w:t>
      </w:r>
      <w:r>
        <w:rPr>
          <w:rFonts w:hint="eastAsia" w:cs="Times New Roman"/>
          <w:sz w:val="28"/>
          <w:szCs w:val="28"/>
        </w:rPr>
        <w:t>约5.66亿元，占总投资的33.43%；数字孪生水网建设2.34亿元，占总投资的13.82%。投资匡算表见表9-1。</w:t>
      </w:r>
    </w:p>
    <w:p w14:paraId="46A0906B">
      <w:pPr>
        <w:widowControl/>
        <w:adjustRightInd w:val="0"/>
        <w:spacing w:line="240" w:lineRule="auto"/>
        <w:jc w:val="center"/>
        <w:rPr>
          <w:rFonts w:cs="Times New Roman"/>
          <w:b/>
          <w:bCs/>
          <w:sz w:val="28"/>
          <w:szCs w:val="28"/>
        </w:rPr>
      </w:pPr>
      <w:r>
        <w:rPr>
          <w:rFonts w:hint="eastAsia" w:cs="Times New Roman"/>
          <w:b/>
          <w:bCs/>
          <w:sz w:val="28"/>
          <w:szCs w:val="28"/>
        </w:rPr>
        <w:t>表9-1  项目总投资匡算表  单位：亿元</w:t>
      </w:r>
    </w:p>
    <w:tbl>
      <w:tblPr>
        <w:tblStyle w:val="19"/>
        <w:tblW w:w="5000" w:type="pct"/>
        <w:tblInd w:w="0" w:type="dxa"/>
        <w:tblLayout w:type="autofit"/>
        <w:tblCellMar>
          <w:top w:w="0" w:type="dxa"/>
          <w:left w:w="108" w:type="dxa"/>
          <w:bottom w:w="0" w:type="dxa"/>
          <w:right w:w="108" w:type="dxa"/>
        </w:tblCellMar>
      </w:tblPr>
      <w:tblGrid>
        <w:gridCol w:w="2432"/>
        <w:gridCol w:w="715"/>
        <w:gridCol w:w="13310"/>
        <w:gridCol w:w="1620"/>
        <w:gridCol w:w="1535"/>
        <w:gridCol w:w="1535"/>
      </w:tblGrid>
      <w:tr w14:paraId="6C31EAA8">
        <w:tblPrEx>
          <w:tblCellMar>
            <w:top w:w="0" w:type="dxa"/>
            <w:left w:w="108" w:type="dxa"/>
            <w:bottom w:w="0" w:type="dxa"/>
            <w:right w:w="108" w:type="dxa"/>
          </w:tblCellMar>
        </w:tblPrEx>
        <w:trPr>
          <w:trHeight w:val="285" w:hRule="atLeast"/>
        </w:trPr>
        <w:tc>
          <w:tcPr>
            <w:tcW w:w="575"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7D321BC">
            <w:pPr>
              <w:widowControl/>
              <w:adjustRightInd w:val="0"/>
              <w:jc w:val="center"/>
              <w:rPr>
                <w:rFonts w:cs="Times New Roman"/>
                <w:b/>
                <w:bCs/>
                <w:kern w:val="0"/>
                <w:szCs w:val="24"/>
              </w:rPr>
            </w:pPr>
            <w:r>
              <w:rPr>
                <w:rFonts w:cs="Times New Roman"/>
                <w:b/>
                <w:bCs/>
                <w:kern w:val="0"/>
                <w:szCs w:val="24"/>
              </w:rPr>
              <w:t>分类</w:t>
            </w:r>
          </w:p>
        </w:tc>
        <w:tc>
          <w:tcPr>
            <w:tcW w:w="169"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9C21D82">
            <w:pPr>
              <w:widowControl/>
              <w:adjustRightInd w:val="0"/>
              <w:jc w:val="center"/>
              <w:rPr>
                <w:rFonts w:cs="Times New Roman"/>
                <w:b/>
                <w:bCs/>
                <w:kern w:val="0"/>
                <w:szCs w:val="24"/>
              </w:rPr>
            </w:pPr>
            <w:r>
              <w:rPr>
                <w:rFonts w:cs="Times New Roman"/>
                <w:b/>
                <w:bCs/>
                <w:kern w:val="0"/>
                <w:szCs w:val="24"/>
              </w:rPr>
              <w:t>序号</w:t>
            </w:r>
          </w:p>
        </w:tc>
        <w:tc>
          <w:tcPr>
            <w:tcW w:w="314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F2F9DE">
            <w:pPr>
              <w:widowControl/>
              <w:adjustRightInd w:val="0"/>
              <w:jc w:val="center"/>
              <w:rPr>
                <w:rFonts w:cs="Times New Roman"/>
                <w:b/>
                <w:bCs/>
                <w:kern w:val="0"/>
                <w:szCs w:val="24"/>
              </w:rPr>
            </w:pPr>
            <w:r>
              <w:rPr>
                <w:rFonts w:cs="Times New Roman"/>
                <w:b/>
                <w:bCs/>
                <w:kern w:val="0"/>
                <w:szCs w:val="24"/>
              </w:rPr>
              <w:t>工程类别</w:t>
            </w:r>
          </w:p>
        </w:tc>
        <w:tc>
          <w:tcPr>
            <w:tcW w:w="1109" w:type="pct"/>
            <w:gridSpan w:val="3"/>
            <w:tcBorders>
              <w:top w:val="single" w:color="auto" w:sz="4" w:space="0"/>
              <w:left w:val="nil"/>
              <w:bottom w:val="single" w:color="auto" w:sz="4" w:space="0"/>
              <w:right w:val="single" w:color="auto" w:sz="4" w:space="0"/>
            </w:tcBorders>
            <w:shd w:val="clear" w:color="auto" w:fill="auto"/>
            <w:vAlign w:val="center"/>
          </w:tcPr>
          <w:p w14:paraId="326873DE">
            <w:pPr>
              <w:widowControl/>
              <w:adjustRightInd w:val="0"/>
              <w:jc w:val="center"/>
              <w:rPr>
                <w:rFonts w:cs="Times New Roman"/>
                <w:b/>
                <w:bCs/>
                <w:kern w:val="0"/>
                <w:szCs w:val="24"/>
              </w:rPr>
            </w:pPr>
            <w:r>
              <w:rPr>
                <w:rFonts w:cs="Times New Roman"/>
                <w:b/>
                <w:bCs/>
                <w:kern w:val="0"/>
                <w:szCs w:val="24"/>
              </w:rPr>
              <w:t>年度实施投资安排（亿元）</w:t>
            </w:r>
          </w:p>
        </w:tc>
      </w:tr>
      <w:tr w14:paraId="256A6ED8">
        <w:tblPrEx>
          <w:tblCellMar>
            <w:top w:w="0" w:type="dxa"/>
            <w:left w:w="108" w:type="dxa"/>
            <w:bottom w:w="0" w:type="dxa"/>
            <w:right w:w="108" w:type="dxa"/>
          </w:tblCellMar>
        </w:tblPrEx>
        <w:trPr>
          <w:trHeight w:val="315" w:hRule="atLeast"/>
        </w:trPr>
        <w:tc>
          <w:tcPr>
            <w:tcW w:w="575"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52041528">
            <w:pPr>
              <w:widowControl/>
              <w:adjustRightInd w:val="0"/>
              <w:jc w:val="left"/>
              <w:rPr>
                <w:rFonts w:cs="Times New Roman"/>
                <w:b/>
                <w:bCs/>
                <w:kern w:val="0"/>
                <w:szCs w:val="24"/>
              </w:rPr>
            </w:pPr>
          </w:p>
        </w:tc>
        <w:tc>
          <w:tcPr>
            <w:tcW w:w="169"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01AC8F8E">
            <w:pPr>
              <w:widowControl/>
              <w:adjustRightInd w:val="0"/>
              <w:jc w:val="left"/>
              <w:rPr>
                <w:rFonts w:cs="Times New Roman"/>
                <w:b/>
                <w:bCs/>
                <w:kern w:val="0"/>
                <w:szCs w:val="24"/>
              </w:rPr>
            </w:pPr>
          </w:p>
        </w:tc>
        <w:tc>
          <w:tcPr>
            <w:tcW w:w="314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40BDCE7">
            <w:pPr>
              <w:widowControl/>
              <w:adjustRightInd w:val="0"/>
              <w:jc w:val="left"/>
              <w:rPr>
                <w:rFonts w:cs="Times New Roman"/>
                <w:b/>
                <w:bCs/>
                <w:kern w:val="0"/>
                <w:szCs w:val="24"/>
              </w:rPr>
            </w:pPr>
          </w:p>
        </w:tc>
        <w:tc>
          <w:tcPr>
            <w:tcW w:w="383" w:type="pct"/>
            <w:tcBorders>
              <w:top w:val="nil"/>
              <w:left w:val="nil"/>
              <w:bottom w:val="single" w:color="auto" w:sz="4" w:space="0"/>
              <w:right w:val="single" w:color="auto" w:sz="4" w:space="0"/>
            </w:tcBorders>
            <w:shd w:val="clear" w:color="auto" w:fill="auto"/>
            <w:vAlign w:val="center"/>
          </w:tcPr>
          <w:p w14:paraId="66266B1A">
            <w:pPr>
              <w:widowControl/>
              <w:adjustRightInd w:val="0"/>
              <w:jc w:val="center"/>
              <w:rPr>
                <w:rFonts w:cs="Times New Roman"/>
                <w:b/>
                <w:bCs/>
                <w:kern w:val="0"/>
                <w:szCs w:val="24"/>
              </w:rPr>
            </w:pPr>
            <w:r>
              <w:rPr>
                <w:rFonts w:cs="Times New Roman"/>
                <w:b/>
                <w:bCs/>
                <w:kern w:val="0"/>
                <w:szCs w:val="24"/>
              </w:rPr>
              <w:t>2030年前</w:t>
            </w:r>
          </w:p>
        </w:tc>
        <w:tc>
          <w:tcPr>
            <w:tcW w:w="363" w:type="pct"/>
            <w:tcBorders>
              <w:top w:val="nil"/>
              <w:left w:val="nil"/>
              <w:bottom w:val="single" w:color="auto" w:sz="4" w:space="0"/>
              <w:right w:val="single" w:color="auto" w:sz="4" w:space="0"/>
            </w:tcBorders>
            <w:shd w:val="clear" w:color="auto" w:fill="auto"/>
            <w:vAlign w:val="center"/>
          </w:tcPr>
          <w:p w14:paraId="6AE7A57A">
            <w:pPr>
              <w:widowControl/>
              <w:adjustRightInd w:val="0"/>
              <w:jc w:val="center"/>
              <w:rPr>
                <w:rFonts w:cs="Times New Roman"/>
                <w:b/>
                <w:bCs/>
                <w:kern w:val="0"/>
                <w:szCs w:val="24"/>
              </w:rPr>
            </w:pPr>
            <w:r>
              <w:rPr>
                <w:rFonts w:cs="Times New Roman"/>
                <w:b/>
                <w:bCs/>
                <w:kern w:val="0"/>
                <w:szCs w:val="24"/>
              </w:rPr>
              <w:t>2035年前</w:t>
            </w:r>
          </w:p>
        </w:tc>
        <w:tc>
          <w:tcPr>
            <w:tcW w:w="363" w:type="pct"/>
            <w:tcBorders>
              <w:top w:val="nil"/>
              <w:left w:val="nil"/>
              <w:bottom w:val="single" w:color="auto" w:sz="4" w:space="0"/>
              <w:right w:val="single" w:color="auto" w:sz="4" w:space="0"/>
            </w:tcBorders>
            <w:shd w:val="clear" w:color="auto" w:fill="auto"/>
            <w:vAlign w:val="center"/>
          </w:tcPr>
          <w:p w14:paraId="53C41BC6">
            <w:pPr>
              <w:widowControl/>
              <w:adjustRightInd w:val="0"/>
              <w:jc w:val="center"/>
              <w:rPr>
                <w:rFonts w:cs="Times New Roman"/>
                <w:b/>
                <w:bCs/>
                <w:kern w:val="0"/>
                <w:szCs w:val="24"/>
              </w:rPr>
            </w:pPr>
            <w:r>
              <w:rPr>
                <w:rFonts w:cs="Times New Roman"/>
                <w:b/>
                <w:bCs/>
                <w:kern w:val="0"/>
                <w:szCs w:val="24"/>
              </w:rPr>
              <w:t>合计</w:t>
            </w:r>
          </w:p>
        </w:tc>
      </w:tr>
      <w:tr w14:paraId="3B41D52D">
        <w:tblPrEx>
          <w:tblCellMar>
            <w:top w:w="0" w:type="dxa"/>
            <w:left w:w="108" w:type="dxa"/>
            <w:bottom w:w="0" w:type="dxa"/>
            <w:right w:w="108" w:type="dxa"/>
          </w:tblCellMar>
        </w:tblPrEx>
        <w:trPr>
          <w:trHeight w:val="315"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7F2B2E3B">
            <w:pPr>
              <w:widowControl/>
              <w:adjustRightInd w:val="0"/>
              <w:jc w:val="center"/>
              <w:rPr>
                <w:rFonts w:cs="Times New Roman"/>
                <w:kern w:val="0"/>
                <w:szCs w:val="24"/>
              </w:rPr>
            </w:pPr>
            <w:bookmarkStart w:id="210" w:name="_Hlk197526404"/>
            <w:r>
              <w:rPr>
                <w:rFonts w:cs="Times New Roman"/>
                <w:kern w:val="0"/>
                <w:szCs w:val="24"/>
              </w:rPr>
              <w:t>节水控水</w:t>
            </w:r>
            <w:bookmarkEnd w:id="210"/>
          </w:p>
        </w:tc>
        <w:tc>
          <w:tcPr>
            <w:tcW w:w="169" w:type="pct"/>
            <w:tcBorders>
              <w:top w:val="nil"/>
              <w:left w:val="nil"/>
              <w:bottom w:val="single" w:color="auto" w:sz="4" w:space="0"/>
              <w:right w:val="single" w:color="auto" w:sz="4" w:space="0"/>
            </w:tcBorders>
            <w:shd w:val="clear" w:color="auto" w:fill="auto"/>
            <w:vAlign w:val="center"/>
          </w:tcPr>
          <w:p w14:paraId="36997E80">
            <w:pPr>
              <w:widowControl/>
              <w:adjustRightInd w:val="0"/>
              <w:jc w:val="center"/>
              <w:rPr>
                <w:rFonts w:cs="Times New Roman"/>
                <w:kern w:val="0"/>
                <w:szCs w:val="24"/>
              </w:rPr>
            </w:pPr>
            <w:r>
              <w:rPr>
                <w:rFonts w:cs="Times New Roman"/>
                <w:kern w:val="0"/>
                <w:szCs w:val="24"/>
              </w:rPr>
              <w:t>1</w:t>
            </w:r>
          </w:p>
        </w:tc>
        <w:tc>
          <w:tcPr>
            <w:tcW w:w="3147" w:type="pct"/>
            <w:tcBorders>
              <w:top w:val="nil"/>
              <w:left w:val="nil"/>
              <w:bottom w:val="single" w:color="auto" w:sz="4" w:space="0"/>
              <w:right w:val="single" w:color="auto" w:sz="4" w:space="0"/>
            </w:tcBorders>
            <w:shd w:val="clear" w:color="auto" w:fill="auto"/>
            <w:vAlign w:val="center"/>
          </w:tcPr>
          <w:p w14:paraId="3996D216">
            <w:pPr>
              <w:widowControl/>
              <w:adjustRightInd w:val="0"/>
              <w:jc w:val="center"/>
              <w:rPr>
                <w:rFonts w:cs="Times New Roman"/>
                <w:kern w:val="0"/>
                <w:szCs w:val="24"/>
              </w:rPr>
            </w:pPr>
            <w:r>
              <w:rPr>
                <w:rFonts w:cs="Times New Roman"/>
                <w:kern w:val="0"/>
                <w:szCs w:val="24"/>
              </w:rPr>
              <w:t>三湖河灌区续建配套与现代化改造工程</w:t>
            </w:r>
          </w:p>
        </w:tc>
        <w:tc>
          <w:tcPr>
            <w:tcW w:w="383" w:type="pct"/>
            <w:tcBorders>
              <w:top w:val="nil"/>
              <w:left w:val="nil"/>
              <w:bottom w:val="single" w:color="auto" w:sz="4" w:space="0"/>
              <w:right w:val="single" w:color="auto" w:sz="4" w:space="0"/>
            </w:tcBorders>
            <w:shd w:val="clear" w:color="auto" w:fill="auto"/>
            <w:vAlign w:val="center"/>
          </w:tcPr>
          <w:p w14:paraId="6A066ACF">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133C78B8">
            <w:pPr>
              <w:widowControl/>
              <w:adjustRightInd w:val="0"/>
              <w:jc w:val="center"/>
              <w:rPr>
                <w:rFonts w:cs="Times New Roman"/>
                <w:kern w:val="0"/>
                <w:szCs w:val="24"/>
              </w:rPr>
            </w:pPr>
            <w:r>
              <w:rPr>
                <w:rFonts w:cs="Times New Roman"/>
                <w:kern w:val="0"/>
                <w:szCs w:val="24"/>
              </w:rPr>
              <w:t>1.33</w:t>
            </w:r>
          </w:p>
        </w:tc>
        <w:tc>
          <w:tcPr>
            <w:tcW w:w="363" w:type="pct"/>
            <w:tcBorders>
              <w:top w:val="nil"/>
              <w:left w:val="nil"/>
              <w:bottom w:val="single" w:color="auto" w:sz="4" w:space="0"/>
              <w:right w:val="single" w:color="auto" w:sz="4" w:space="0"/>
            </w:tcBorders>
            <w:shd w:val="clear" w:color="auto" w:fill="auto"/>
            <w:vAlign w:val="center"/>
          </w:tcPr>
          <w:p w14:paraId="11EFE571">
            <w:pPr>
              <w:widowControl/>
              <w:adjustRightInd w:val="0"/>
              <w:jc w:val="center"/>
              <w:rPr>
                <w:rFonts w:cs="Times New Roman"/>
                <w:kern w:val="0"/>
                <w:szCs w:val="24"/>
              </w:rPr>
            </w:pPr>
            <w:r>
              <w:rPr>
                <w:rFonts w:cs="Times New Roman"/>
                <w:kern w:val="0"/>
                <w:szCs w:val="24"/>
              </w:rPr>
              <w:t>1.63</w:t>
            </w:r>
          </w:p>
        </w:tc>
      </w:tr>
      <w:tr w14:paraId="5C760CC9">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679BF0DE">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64746676">
            <w:pPr>
              <w:widowControl/>
              <w:adjustRightInd w:val="0"/>
              <w:jc w:val="center"/>
              <w:rPr>
                <w:rFonts w:cs="Times New Roman"/>
                <w:kern w:val="0"/>
                <w:szCs w:val="24"/>
              </w:rPr>
            </w:pPr>
            <w:r>
              <w:rPr>
                <w:rFonts w:cs="Times New Roman"/>
                <w:kern w:val="0"/>
                <w:szCs w:val="24"/>
              </w:rPr>
              <w:t>2</w:t>
            </w:r>
          </w:p>
        </w:tc>
        <w:tc>
          <w:tcPr>
            <w:tcW w:w="3147" w:type="pct"/>
            <w:tcBorders>
              <w:top w:val="nil"/>
              <w:left w:val="nil"/>
              <w:bottom w:val="single" w:color="auto" w:sz="4" w:space="0"/>
              <w:right w:val="single" w:color="auto" w:sz="4" w:space="0"/>
            </w:tcBorders>
            <w:shd w:val="clear" w:color="auto" w:fill="auto"/>
            <w:vAlign w:val="center"/>
          </w:tcPr>
          <w:p w14:paraId="608BB9B2">
            <w:pPr>
              <w:widowControl/>
              <w:adjustRightInd w:val="0"/>
              <w:jc w:val="center"/>
              <w:rPr>
                <w:rFonts w:cs="Times New Roman"/>
                <w:kern w:val="0"/>
                <w:szCs w:val="24"/>
              </w:rPr>
            </w:pPr>
            <w:r>
              <w:rPr>
                <w:rFonts w:cs="Times New Roman"/>
                <w:kern w:val="0"/>
                <w:szCs w:val="24"/>
              </w:rPr>
              <w:t>高标准农田建设</w:t>
            </w:r>
          </w:p>
        </w:tc>
        <w:tc>
          <w:tcPr>
            <w:tcW w:w="383" w:type="pct"/>
            <w:tcBorders>
              <w:top w:val="nil"/>
              <w:left w:val="nil"/>
              <w:bottom w:val="single" w:color="auto" w:sz="4" w:space="0"/>
              <w:right w:val="single" w:color="auto" w:sz="4" w:space="0"/>
            </w:tcBorders>
            <w:shd w:val="clear" w:color="auto" w:fill="auto"/>
            <w:vAlign w:val="center"/>
          </w:tcPr>
          <w:p w14:paraId="6B5FD307">
            <w:pPr>
              <w:widowControl/>
              <w:adjustRightInd w:val="0"/>
              <w:jc w:val="center"/>
              <w:rPr>
                <w:rFonts w:cs="Times New Roman"/>
                <w:kern w:val="0"/>
                <w:szCs w:val="24"/>
              </w:rPr>
            </w:pPr>
            <w:r>
              <w:rPr>
                <w:rFonts w:cs="Times New Roman"/>
                <w:kern w:val="0"/>
                <w:szCs w:val="24"/>
              </w:rPr>
              <w:t>1.29</w:t>
            </w:r>
          </w:p>
        </w:tc>
        <w:tc>
          <w:tcPr>
            <w:tcW w:w="363" w:type="pct"/>
            <w:tcBorders>
              <w:top w:val="nil"/>
              <w:left w:val="nil"/>
              <w:bottom w:val="single" w:color="auto" w:sz="4" w:space="0"/>
              <w:right w:val="single" w:color="auto" w:sz="4" w:space="0"/>
            </w:tcBorders>
            <w:shd w:val="clear" w:color="auto" w:fill="auto"/>
            <w:vAlign w:val="center"/>
          </w:tcPr>
          <w:p w14:paraId="562FACED">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7E09E3D3">
            <w:pPr>
              <w:widowControl/>
              <w:adjustRightInd w:val="0"/>
              <w:jc w:val="center"/>
              <w:rPr>
                <w:rFonts w:cs="Times New Roman"/>
                <w:kern w:val="0"/>
                <w:szCs w:val="24"/>
              </w:rPr>
            </w:pPr>
            <w:r>
              <w:rPr>
                <w:rFonts w:cs="Times New Roman"/>
                <w:kern w:val="0"/>
                <w:szCs w:val="24"/>
              </w:rPr>
              <w:t>1.59</w:t>
            </w:r>
          </w:p>
        </w:tc>
      </w:tr>
      <w:tr w14:paraId="67E1CDC1">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37D57408">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12D117CC">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7A8AAC1F">
            <w:pPr>
              <w:widowControl/>
              <w:adjustRightInd w:val="0"/>
              <w:jc w:val="center"/>
              <w:rPr>
                <w:rFonts w:cs="Times New Roman"/>
                <w:b/>
                <w:bCs/>
                <w:kern w:val="0"/>
                <w:szCs w:val="24"/>
              </w:rPr>
            </w:pPr>
            <w:r>
              <w:rPr>
                <w:rFonts w:cs="Times New Roman"/>
                <w:b/>
                <w:bCs/>
                <w:kern w:val="0"/>
                <w:szCs w:val="24"/>
              </w:rPr>
              <w:t>1.59</w:t>
            </w:r>
          </w:p>
        </w:tc>
        <w:tc>
          <w:tcPr>
            <w:tcW w:w="363" w:type="pct"/>
            <w:tcBorders>
              <w:top w:val="nil"/>
              <w:left w:val="nil"/>
              <w:bottom w:val="single" w:color="auto" w:sz="4" w:space="0"/>
              <w:right w:val="single" w:color="auto" w:sz="4" w:space="0"/>
            </w:tcBorders>
            <w:shd w:val="clear" w:color="auto" w:fill="auto"/>
            <w:vAlign w:val="center"/>
          </w:tcPr>
          <w:p w14:paraId="34FA1840">
            <w:pPr>
              <w:widowControl/>
              <w:adjustRightInd w:val="0"/>
              <w:jc w:val="center"/>
              <w:rPr>
                <w:rFonts w:cs="Times New Roman"/>
                <w:b/>
                <w:bCs/>
                <w:kern w:val="0"/>
                <w:szCs w:val="24"/>
              </w:rPr>
            </w:pPr>
            <w:r>
              <w:rPr>
                <w:rFonts w:cs="Times New Roman"/>
                <w:b/>
                <w:bCs/>
                <w:kern w:val="0"/>
                <w:szCs w:val="24"/>
              </w:rPr>
              <w:t>1.63</w:t>
            </w:r>
          </w:p>
        </w:tc>
        <w:tc>
          <w:tcPr>
            <w:tcW w:w="363" w:type="pct"/>
            <w:tcBorders>
              <w:top w:val="nil"/>
              <w:left w:val="nil"/>
              <w:bottom w:val="single" w:color="auto" w:sz="4" w:space="0"/>
              <w:right w:val="single" w:color="auto" w:sz="4" w:space="0"/>
            </w:tcBorders>
            <w:shd w:val="clear" w:color="auto" w:fill="auto"/>
            <w:vAlign w:val="center"/>
          </w:tcPr>
          <w:p w14:paraId="798113CE">
            <w:pPr>
              <w:widowControl/>
              <w:adjustRightInd w:val="0"/>
              <w:jc w:val="center"/>
              <w:rPr>
                <w:rFonts w:cs="Times New Roman"/>
                <w:b/>
                <w:bCs/>
                <w:kern w:val="0"/>
                <w:szCs w:val="24"/>
              </w:rPr>
            </w:pPr>
            <w:r>
              <w:rPr>
                <w:rFonts w:cs="Times New Roman"/>
                <w:b/>
                <w:bCs/>
                <w:kern w:val="0"/>
                <w:szCs w:val="24"/>
              </w:rPr>
              <w:t>3.22</w:t>
            </w:r>
          </w:p>
        </w:tc>
      </w:tr>
      <w:tr w14:paraId="540A959D">
        <w:tblPrEx>
          <w:tblCellMar>
            <w:top w:w="0" w:type="dxa"/>
            <w:left w:w="108" w:type="dxa"/>
            <w:bottom w:w="0" w:type="dxa"/>
            <w:right w:w="108" w:type="dxa"/>
          </w:tblCellMar>
        </w:tblPrEx>
        <w:trPr>
          <w:trHeight w:val="985" w:hRule="atLeast"/>
        </w:trPr>
        <w:tc>
          <w:tcPr>
            <w:tcW w:w="575" w:type="pct"/>
            <w:vMerge w:val="restart"/>
            <w:tcBorders>
              <w:top w:val="nil"/>
              <w:left w:val="single" w:color="auto" w:sz="4" w:space="0"/>
              <w:bottom w:val="single" w:color="000000" w:sz="4" w:space="0"/>
              <w:right w:val="single" w:color="auto" w:sz="4" w:space="0"/>
            </w:tcBorders>
            <w:shd w:val="clear" w:color="auto" w:fill="auto"/>
            <w:vAlign w:val="center"/>
          </w:tcPr>
          <w:p w14:paraId="5C9F5222">
            <w:pPr>
              <w:widowControl/>
              <w:adjustRightInd w:val="0"/>
              <w:jc w:val="center"/>
              <w:rPr>
                <w:rFonts w:cs="Times New Roman"/>
                <w:kern w:val="0"/>
                <w:szCs w:val="24"/>
              </w:rPr>
            </w:pPr>
            <w:r>
              <w:rPr>
                <w:rFonts w:cs="Times New Roman"/>
                <w:kern w:val="0"/>
                <w:szCs w:val="24"/>
              </w:rPr>
              <w:t>水资源配置与保障</w:t>
            </w:r>
          </w:p>
        </w:tc>
        <w:tc>
          <w:tcPr>
            <w:tcW w:w="169" w:type="pct"/>
            <w:tcBorders>
              <w:top w:val="nil"/>
              <w:left w:val="nil"/>
              <w:bottom w:val="single" w:color="auto" w:sz="4" w:space="0"/>
              <w:right w:val="single" w:color="auto" w:sz="4" w:space="0"/>
            </w:tcBorders>
            <w:shd w:val="clear" w:color="auto" w:fill="auto"/>
            <w:vAlign w:val="center"/>
          </w:tcPr>
          <w:p w14:paraId="671EC734">
            <w:pPr>
              <w:widowControl/>
              <w:adjustRightInd w:val="0"/>
              <w:jc w:val="center"/>
              <w:rPr>
                <w:rFonts w:cs="Times New Roman"/>
                <w:kern w:val="0"/>
                <w:szCs w:val="24"/>
              </w:rPr>
            </w:pPr>
            <w:r>
              <w:rPr>
                <w:rFonts w:cs="Times New Roman"/>
                <w:kern w:val="0"/>
                <w:szCs w:val="24"/>
              </w:rPr>
              <w:t>3</w:t>
            </w:r>
          </w:p>
        </w:tc>
        <w:tc>
          <w:tcPr>
            <w:tcW w:w="3147" w:type="pct"/>
            <w:tcBorders>
              <w:top w:val="nil"/>
              <w:left w:val="nil"/>
              <w:bottom w:val="single" w:color="auto" w:sz="4" w:space="0"/>
              <w:right w:val="single" w:color="auto" w:sz="4" w:space="0"/>
            </w:tcBorders>
            <w:shd w:val="clear" w:color="auto" w:fill="auto"/>
            <w:vAlign w:val="center"/>
          </w:tcPr>
          <w:p w14:paraId="22CD0277">
            <w:pPr>
              <w:widowControl/>
              <w:adjustRightInd w:val="0"/>
              <w:jc w:val="center"/>
              <w:rPr>
                <w:rFonts w:cs="Times New Roman"/>
                <w:kern w:val="0"/>
                <w:szCs w:val="24"/>
              </w:rPr>
            </w:pPr>
            <w:r>
              <w:rPr>
                <w:rFonts w:cs="Times New Roman"/>
                <w:kern w:val="0"/>
                <w:szCs w:val="24"/>
              </w:rPr>
              <w:t>农村饮水安全工程（建设农村牧区供水信息平台，实施阿嘎如泰与哈业胡同北部、哈林格尔、哈业胡同南部、麻池镇、萨如拉等集中扩网改造工程，实施白音席勒、阿嘎如泰与哈业胡同北部、哈林格尔、哈业胡同南部接入市政管网工程，实施72个村村网改造工程，铺设管网约580km。）</w:t>
            </w:r>
          </w:p>
        </w:tc>
        <w:tc>
          <w:tcPr>
            <w:tcW w:w="383" w:type="pct"/>
            <w:tcBorders>
              <w:top w:val="nil"/>
              <w:left w:val="nil"/>
              <w:bottom w:val="single" w:color="auto" w:sz="4" w:space="0"/>
              <w:right w:val="single" w:color="auto" w:sz="4" w:space="0"/>
            </w:tcBorders>
            <w:shd w:val="clear" w:color="auto" w:fill="auto"/>
            <w:vAlign w:val="center"/>
          </w:tcPr>
          <w:p w14:paraId="2DE44A47">
            <w:pPr>
              <w:widowControl/>
              <w:adjustRightInd w:val="0"/>
              <w:jc w:val="center"/>
              <w:rPr>
                <w:rFonts w:cs="Times New Roman"/>
                <w:kern w:val="0"/>
                <w:szCs w:val="24"/>
              </w:rPr>
            </w:pPr>
            <w:r>
              <w:rPr>
                <w:rFonts w:cs="Times New Roman"/>
                <w:kern w:val="0"/>
                <w:szCs w:val="24"/>
              </w:rPr>
              <w:t>1.86</w:t>
            </w:r>
          </w:p>
        </w:tc>
        <w:tc>
          <w:tcPr>
            <w:tcW w:w="363" w:type="pct"/>
            <w:tcBorders>
              <w:top w:val="nil"/>
              <w:left w:val="nil"/>
              <w:bottom w:val="single" w:color="auto" w:sz="4" w:space="0"/>
              <w:right w:val="single" w:color="auto" w:sz="4" w:space="0"/>
            </w:tcBorders>
            <w:shd w:val="clear" w:color="auto" w:fill="auto"/>
            <w:vAlign w:val="center"/>
          </w:tcPr>
          <w:p w14:paraId="2A023E5E">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331F54F2">
            <w:pPr>
              <w:widowControl/>
              <w:adjustRightInd w:val="0"/>
              <w:jc w:val="center"/>
              <w:rPr>
                <w:rFonts w:cs="Times New Roman"/>
                <w:kern w:val="0"/>
                <w:szCs w:val="24"/>
              </w:rPr>
            </w:pPr>
            <w:r>
              <w:rPr>
                <w:rFonts w:cs="Times New Roman"/>
                <w:kern w:val="0"/>
                <w:szCs w:val="24"/>
              </w:rPr>
              <w:t>1.86</w:t>
            </w:r>
          </w:p>
        </w:tc>
      </w:tr>
      <w:tr w14:paraId="504EAAB3">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000000" w:sz="4" w:space="0"/>
              <w:right w:val="single" w:color="auto" w:sz="4" w:space="0"/>
            </w:tcBorders>
            <w:shd w:val="clear" w:color="auto" w:fill="auto"/>
            <w:vAlign w:val="center"/>
          </w:tcPr>
          <w:p w14:paraId="351A8FBD">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5709081F">
            <w:pPr>
              <w:widowControl/>
              <w:adjustRightInd w:val="0"/>
              <w:jc w:val="center"/>
              <w:rPr>
                <w:rFonts w:cs="Times New Roman"/>
                <w:kern w:val="0"/>
                <w:szCs w:val="24"/>
              </w:rPr>
            </w:pPr>
            <w:r>
              <w:rPr>
                <w:rFonts w:cs="Times New Roman"/>
                <w:kern w:val="0"/>
                <w:szCs w:val="24"/>
              </w:rPr>
              <w:t>4</w:t>
            </w:r>
          </w:p>
        </w:tc>
        <w:tc>
          <w:tcPr>
            <w:tcW w:w="3147" w:type="pct"/>
            <w:tcBorders>
              <w:top w:val="nil"/>
              <w:left w:val="nil"/>
              <w:bottom w:val="single" w:color="auto" w:sz="4" w:space="0"/>
              <w:right w:val="single" w:color="auto" w:sz="4" w:space="0"/>
            </w:tcBorders>
            <w:shd w:val="clear" w:color="auto" w:fill="auto"/>
            <w:vAlign w:val="center"/>
          </w:tcPr>
          <w:p w14:paraId="10896B86">
            <w:pPr>
              <w:widowControl/>
              <w:adjustRightInd w:val="0"/>
              <w:jc w:val="center"/>
              <w:rPr>
                <w:rFonts w:cs="Times New Roman"/>
                <w:kern w:val="0"/>
                <w:szCs w:val="24"/>
              </w:rPr>
            </w:pPr>
            <w:r>
              <w:rPr>
                <w:rFonts w:cs="Times New Roman"/>
                <w:kern w:val="0"/>
                <w:szCs w:val="24"/>
              </w:rPr>
              <w:t>三湖河中型灌区盐碱地排水系统改造</w:t>
            </w:r>
          </w:p>
        </w:tc>
        <w:tc>
          <w:tcPr>
            <w:tcW w:w="383" w:type="pct"/>
            <w:tcBorders>
              <w:top w:val="nil"/>
              <w:left w:val="nil"/>
              <w:bottom w:val="single" w:color="auto" w:sz="4" w:space="0"/>
              <w:right w:val="single" w:color="auto" w:sz="4" w:space="0"/>
            </w:tcBorders>
            <w:shd w:val="clear" w:color="auto" w:fill="auto"/>
            <w:vAlign w:val="center"/>
          </w:tcPr>
          <w:p w14:paraId="02EEBA7E">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1B7519D7">
            <w:pPr>
              <w:widowControl/>
              <w:adjustRightInd w:val="0"/>
              <w:jc w:val="center"/>
              <w:rPr>
                <w:rFonts w:cs="Times New Roman"/>
                <w:kern w:val="0"/>
                <w:szCs w:val="24"/>
              </w:rPr>
            </w:pPr>
            <w:r>
              <w:rPr>
                <w:rFonts w:cs="Times New Roman"/>
                <w:kern w:val="0"/>
                <w:szCs w:val="24"/>
              </w:rPr>
              <w:t>0.75</w:t>
            </w:r>
          </w:p>
        </w:tc>
        <w:tc>
          <w:tcPr>
            <w:tcW w:w="363" w:type="pct"/>
            <w:tcBorders>
              <w:top w:val="nil"/>
              <w:left w:val="nil"/>
              <w:bottom w:val="single" w:color="auto" w:sz="4" w:space="0"/>
              <w:right w:val="single" w:color="auto" w:sz="4" w:space="0"/>
            </w:tcBorders>
            <w:shd w:val="clear" w:color="auto" w:fill="auto"/>
            <w:vAlign w:val="center"/>
          </w:tcPr>
          <w:p w14:paraId="766D0B12">
            <w:pPr>
              <w:widowControl/>
              <w:adjustRightInd w:val="0"/>
              <w:jc w:val="center"/>
              <w:rPr>
                <w:rFonts w:cs="Times New Roman"/>
                <w:kern w:val="0"/>
                <w:szCs w:val="24"/>
              </w:rPr>
            </w:pPr>
            <w:r>
              <w:rPr>
                <w:rFonts w:cs="Times New Roman"/>
                <w:kern w:val="0"/>
                <w:szCs w:val="24"/>
              </w:rPr>
              <w:t>1.05</w:t>
            </w:r>
          </w:p>
        </w:tc>
      </w:tr>
      <w:tr w14:paraId="4A6A8F31">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000000" w:sz="4" w:space="0"/>
              <w:right w:val="single" w:color="auto" w:sz="4" w:space="0"/>
            </w:tcBorders>
            <w:shd w:val="clear" w:color="auto" w:fill="auto"/>
            <w:vAlign w:val="center"/>
          </w:tcPr>
          <w:p w14:paraId="74F763ED">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000000" w:sz="4" w:space="0"/>
            </w:tcBorders>
            <w:shd w:val="clear" w:color="auto" w:fill="auto"/>
            <w:vAlign w:val="center"/>
          </w:tcPr>
          <w:p w14:paraId="51C15F33">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026E1B25">
            <w:pPr>
              <w:widowControl/>
              <w:adjustRightInd w:val="0"/>
              <w:jc w:val="center"/>
              <w:rPr>
                <w:rFonts w:cs="Times New Roman"/>
                <w:kern w:val="0"/>
                <w:szCs w:val="24"/>
              </w:rPr>
            </w:pPr>
            <w:r>
              <w:rPr>
                <w:rFonts w:cs="Times New Roman"/>
                <w:kern w:val="0"/>
                <w:szCs w:val="24"/>
              </w:rPr>
              <w:t>2.16</w:t>
            </w:r>
          </w:p>
        </w:tc>
        <w:tc>
          <w:tcPr>
            <w:tcW w:w="363" w:type="pct"/>
            <w:tcBorders>
              <w:top w:val="nil"/>
              <w:left w:val="nil"/>
              <w:bottom w:val="single" w:color="auto" w:sz="4" w:space="0"/>
              <w:right w:val="single" w:color="auto" w:sz="4" w:space="0"/>
            </w:tcBorders>
            <w:shd w:val="clear" w:color="auto" w:fill="auto"/>
            <w:vAlign w:val="center"/>
          </w:tcPr>
          <w:p w14:paraId="55141855">
            <w:pPr>
              <w:widowControl/>
              <w:adjustRightInd w:val="0"/>
              <w:jc w:val="center"/>
              <w:rPr>
                <w:rFonts w:cs="Times New Roman"/>
                <w:kern w:val="0"/>
                <w:szCs w:val="24"/>
              </w:rPr>
            </w:pPr>
            <w:r>
              <w:rPr>
                <w:rFonts w:cs="Times New Roman"/>
                <w:kern w:val="0"/>
                <w:szCs w:val="24"/>
              </w:rPr>
              <w:t>0.75</w:t>
            </w:r>
          </w:p>
        </w:tc>
        <w:tc>
          <w:tcPr>
            <w:tcW w:w="363" w:type="pct"/>
            <w:tcBorders>
              <w:top w:val="nil"/>
              <w:left w:val="nil"/>
              <w:bottom w:val="single" w:color="auto" w:sz="4" w:space="0"/>
              <w:right w:val="single" w:color="auto" w:sz="4" w:space="0"/>
            </w:tcBorders>
            <w:shd w:val="clear" w:color="auto" w:fill="auto"/>
            <w:vAlign w:val="center"/>
          </w:tcPr>
          <w:p w14:paraId="7EF65011">
            <w:pPr>
              <w:widowControl/>
              <w:adjustRightInd w:val="0"/>
              <w:jc w:val="center"/>
              <w:rPr>
                <w:rFonts w:cs="Times New Roman"/>
                <w:kern w:val="0"/>
                <w:szCs w:val="24"/>
              </w:rPr>
            </w:pPr>
            <w:r>
              <w:rPr>
                <w:rFonts w:cs="Times New Roman"/>
                <w:kern w:val="0"/>
                <w:szCs w:val="24"/>
              </w:rPr>
              <w:t>2.91</w:t>
            </w:r>
          </w:p>
        </w:tc>
      </w:tr>
      <w:tr w14:paraId="02007CCB">
        <w:tblPrEx>
          <w:tblCellMar>
            <w:top w:w="0" w:type="dxa"/>
            <w:left w:w="108" w:type="dxa"/>
            <w:bottom w:w="0" w:type="dxa"/>
            <w:right w:w="108" w:type="dxa"/>
          </w:tblCellMar>
        </w:tblPrEx>
        <w:trPr>
          <w:trHeight w:val="315"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75041DBE">
            <w:pPr>
              <w:widowControl/>
              <w:adjustRightInd w:val="0"/>
              <w:jc w:val="center"/>
              <w:rPr>
                <w:rFonts w:cs="Times New Roman"/>
                <w:kern w:val="0"/>
                <w:szCs w:val="24"/>
              </w:rPr>
            </w:pPr>
            <w:r>
              <w:rPr>
                <w:rFonts w:cs="Times New Roman"/>
                <w:kern w:val="0"/>
                <w:szCs w:val="24"/>
              </w:rPr>
              <w:t>水生态保护治理</w:t>
            </w:r>
          </w:p>
        </w:tc>
        <w:tc>
          <w:tcPr>
            <w:tcW w:w="169" w:type="pct"/>
            <w:tcBorders>
              <w:top w:val="nil"/>
              <w:left w:val="nil"/>
              <w:bottom w:val="single" w:color="auto" w:sz="4" w:space="0"/>
              <w:right w:val="single" w:color="auto" w:sz="4" w:space="0"/>
            </w:tcBorders>
            <w:shd w:val="clear" w:color="auto" w:fill="auto"/>
            <w:vAlign w:val="center"/>
          </w:tcPr>
          <w:p w14:paraId="39F60526">
            <w:pPr>
              <w:widowControl/>
              <w:adjustRightInd w:val="0"/>
              <w:jc w:val="center"/>
              <w:rPr>
                <w:rFonts w:cs="Times New Roman"/>
                <w:kern w:val="0"/>
                <w:szCs w:val="24"/>
              </w:rPr>
            </w:pPr>
            <w:r>
              <w:rPr>
                <w:rFonts w:cs="Times New Roman"/>
                <w:kern w:val="0"/>
                <w:szCs w:val="24"/>
              </w:rPr>
              <w:t>5</w:t>
            </w:r>
          </w:p>
        </w:tc>
        <w:tc>
          <w:tcPr>
            <w:tcW w:w="3147" w:type="pct"/>
            <w:tcBorders>
              <w:top w:val="nil"/>
              <w:left w:val="nil"/>
              <w:bottom w:val="single" w:color="auto" w:sz="4" w:space="0"/>
              <w:right w:val="single" w:color="auto" w:sz="4" w:space="0"/>
            </w:tcBorders>
            <w:shd w:val="clear" w:color="auto" w:fill="auto"/>
            <w:vAlign w:val="center"/>
          </w:tcPr>
          <w:p w14:paraId="2E3057DA">
            <w:pPr>
              <w:widowControl/>
              <w:adjustRightInd w:val="0"/>
              <w:jc w:val="center"/>
              <w:rPr>
                <w:rFonts w:cs="Times New Roman"/>
                <w:kern w:val="0"/>
                <w:szCs w:val="24"/>
              </w:rPr>
            </w:pPr>
            <w:r>
              <w:rPr>
                <w:rFonts w:cs="Times New Roman"/>
                <w:kern w:val="0"/>
                <w:szCs w:val="24"/>
              </w:rPr>
              <w:t>九原区小流域综合治理工程</w:t>
            </w:r>
          </w:p>
        </w:tc>
        <w:tc>
          <w:tcPr>
            <w:tcW w:w="383" w:type="pct"/>
            <w:tcBorders>
              <w:top w:val="nil"/>
              <w:left w:val="nil"/>
              <w:bottom w:val="single" w:color="auto" w:sz="4" w:space="0"/>
              <w:right w:val="single" w:color="auto" w:sz="4" w:space="0"/>
            </w:tcBorders>
            <w:shd w:val="clear" w:color="auto" w:fill="auto"/>
            <w:vAlign w:val="center"/>
          </w:tcPr>
          <w:p w14:paraId="0FA6FFE5">
            <w:pPr>
              <w:widowControl/>
              <w:adjustRightInd w:val="0"/>
              <w:jc w:val="center"/>
              <w:rPr>
                <w:rFonts w:cs="Times New Roman"/>
                <w:kern w:val="0"/>
                <w:szCs w:val="24"/>
              </w:rPr>
            </w:pPr>
            <w:r>
              <w:rPr>
                <w:rFonts w:cs="Times New Roman"/>
                <w:kern w:val="0"/>
                <w:szCs w:val="24"/>
              </w:rPr>
              <w:t>0.1</w:t>
            </w:r>
          </w:p>
        </w:tc>
        <w:tc>
          <w:tcPr>
            <w:tcW w:w="363" w:type="pct"/>
            <w:tcBorders>
              <w:top w:val="nil"/>
              <w:left w:val="nil"/>
              <w:bottom w:val="single" w:color="auto" w:sz="4" w:space="0"/>
              <w:right w:val="single" w:color="auto" w:sz="4" w:space="0"/>
            </w:tcBorders>
            <w:shd w:val="clear" w:color="auto" w:fill="auto"/>
            <w:vAlign w:val="center"/>
          </w:tcPr>
          <w:p w14:paraId="14B3A26D">
            <w:pPr>
              <w:widowControl/>
              <w:adjustRightInd w:val="0"/>
              <w:jc w:val="center"/>
              <w:rPr>
                <w:rFonts w:cs="Times New Roman"/>
                <w:kern w:val="0"/>
                <w:szCs w:val="24"/>
              </w:rPr>
            </w:pPr>
            <w:r>
              <w:rPr>
                <w:rFonts w:cs="Times New Roman"/>
                <w:kern w:val="0"/>
                <w:szCs w:val="24"/>
              </w:rPr>
              <w:t>0.9</w:t>
            </w:r>
          </w:p>
        </w:tc>
        <w:tc>
          <w:tcPr>
            <w:tcW w:w="363" w:type="pct"/>
            <w:tcBorders>
              <w:top w:val="nil"/>
              <w:left w:val="nil"/>
              <w:bottom w:val="single" w:color="auto" w:sz="4" w:space="0"/>
              <w:right w:val="single" w:color="auto" w:sz="4" w:space="0"/>
            </w:tcBorders>
            <w:shd w:val="clear" w:color="auto" w:fill="auto"/>
            <w:vAlign w:val="center"/>
          </w:tcPr>
          <w:p w14:paraId="4A6AE5D8">
            <w:pPr>
              <w:widowControl/>
              <w:adjustRightInd w:val="0"/>
              <w:jc w:val="center"/>
              <w:rPr>
                <w:rFonts w:cs="Times New Roman"/>
                <w:kern w:val="0"/>
                <w:szCs w:val="24"/>
              </w:rPr>
            </w:pPr>
            <w:r>
              <w:rPr>
                <w:rFonts w:cs="Times New Roman"/>
                <w:kern w:val="0"/>
                <w:szCs w:val="24"/>
              </w:rPr>
              <w:t>1</w:t>
            </w:r>
          </w:p>
        </w:tc>
      </w:tr>
      <w:tr w14:paraId="21C6182D">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67C02BBF">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525B1A7A">
            <w:pPr>
              <w:widowControl/>
              <w:adjustRightInd w:val="0"/>
              <w:jc w:val="center"/>
              <w:rPr>
                <w:rFonts w:cs="Times New Roman"/>
                <w:kern w:val="0"/>
                <w:szCs w:val="24"/>
              </w:rPr>
            </w:pPr>
            <w:r>
              <w:rPr>
                <w:rFonts w:cs="Times New Roman"/>
                <w:kern w:val="0"/>
                <w:szCs w:val="24"/>
              </w:rPr>
              <w:t>6</w:t>
            </w:r>
          </w:p>
        </w:tc>
        <w:tc>
          <w:tcPr>
            <w:tcW w:w="3147" w:type="pct"/>
            <w:tcBorders>
              <w:top w:val="nil"/>
              <w:left w:val="nil"/>
              <w:bottom w:val="single" w:color="auto" w:sz="4" w:space="0"/>
              <w:right w:val="single" w:color="auto" w:sz="4" w:space="0"/>
            </w:tcBorders>
            <w:shd w:val="clear" w:color="auto" w:fill="auto"/>
            <w:vAlign w:val="center"/>
          </w:tcPr>
          <w:p w14:paraId="0C138DDE">
            <w:pPr>
              <w:widowControl/>
              <w:adjustRightInd w:val="0"/>
              <w:jc w:val="center"/>
              <w:rPr>
                <w:rFonts w:cs="Times New Roman"/>
                <w:kern w:val="0"/>
                <w:szCs w:val="24"/>
              </w:rPr>
            </w:pPr>
            <w:r>
              <w:rPr>
                <w:rFonts w:cs="Times New Roman"/>
                <w:kern w:val="0"/>
                <w:szCs w:val="24"/>
              </w:rPr>
              <w:t>水源地保护工程</w:t>
            </w:r>
          </w:p>
        </w:tc>
        <w:tc>
          <w:tcPr>
            <w:tcW w:w="383" w:type="pct"/>
            <w:tcBorders>
              <w:top w:val="nil"/>
              <w:left w:val="nil"/>
              <w:bottom w:val="single" w:color="auto" w:sz="4" w:space="0"/>
              <w:right w:val="single" w:color="auto" w:sz="4" w:space="0"/>
            </w:tcBorders>
            <w:shd w:val="clear" w:color="auto" w:fill="auto"/>
            <w:vAlign w:val="center"/>
          </w:tcPr>
          <w:p w14:paraId="6536456E">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6E12673F">
            <w:pPr>
              <w:widowControl/>
              <w:adjustRightInd w:val="0"/>
              <w:jc w:val="center"/>
              <w:rPr>
                <w:rFonts w:cs="Times New Roman"/>
                <w:kern w:val="0"/>
                <w:szCs w:val="24"/>
              </w:rPr>
            </w:pPr>
            <w:r>
              <w:rPr>
                <w:rFonts w:cs="Times New Roman"/>
                <w:kern w:val="0"/>
                <w:szCs w:val="24"/>
              </w:rPr>
              <w:t>1.8</w:t>
            </w:r>
          </w:p>
        </w:tc>
        <w:tc>
          <w:tcPr>
            <w:tcW w:w="363" w:type="pct"/>
            <w:tcBorders>
              <w:top w:val="nil"/>
              <w:left w:val="nil"/>
              <w:bottom w:val="nil"/>
              <w:right w:val="single" w:color="auto" w:sz="4" w:space="0"/>
            </w:tcBorders>
            <w:shd w:val="clear" w:color="auto" w:fill="auto"/>
            <w:vAlign w:val="center"/>
          </w:tcPr>
          <w:p w14:paraId="530FD75E">
            <w:pPr>
              <w:widowControl/>
              <w:adjustRightInd w:val="0"/>
              <w:jc w:val="center"/>
              <w:rPr>
                <w:rFonts w:cs="Times New Roman"/>
                <w:kern w:val="0"/>
                <w:szCs w:val="24"/>
              </w:rPr>
            </w:pPr>
            <w:r>
              <w:rPr>
                <w:rFonts w:cs="Times New Roman"/>
                <w:kern w:val="0"/>
                <w:szCs w:val="24"/>
              </w:rPr>
              <w:t>1.8</w:t>
            </w:r>
          </w:p>
        </w:tc>
      </w:tr>
      <w:tr w14:paraId="50CCC623">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479A46D2">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049BC347">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669F3E3A">
            <w:pPr>
              <w:widowControl/>
              <w:adjustRightInd w:val="0"/>
              <w:jc w:val="center"/>
              <w:rPr>
                <w:rFonts w:cs="Times New Roman"/>
                <w:b/>
                <w:bCs/>
                <w:kern w:val="0"/>
                <w:szCs w:val="24"/>
              </w:rPr>
            </w:pPr>
            <w:r>
              <w:rPr>
                <w:rFonts w:cs="Times New Roman"/>
                <w:b/>
                <w:bCs/>
                <w:kern w:val="0"/>
                <w:szCs w:val="24"/>
              </w:rPr>
              <w:t>0.1</w:t>
            </w:r>
          </w:p>
        </w:tc>
        <w:tc>
          <w:tcPr>
            <w:tcW w:w="363" w:type="pct"/>
            <w:tcBorders>
              <w:top w:val="nil"/>
              <w:left w:val="nil"/>
              <w:bottom w:val="single" w:color="auto" w:sz="4" w:space="0"/>
              <w:right w:val="single" w:color="auto" w:sz="4" w:space="0"/>
            </w:tcBorders>
            <w:shd w:val="clear" w:color="auto" w:fill="auto"/>
            <w:vAlign w:val="center"/>
          </w:tcPr>
          <w:p w14:paraId="06232332">
            <w:pPr>
              <w:widowControl/>
              <w:adjustRightInd w:val="0"/>
              <w:jc w:val="center"/>
              <w:rPr>
                <w:rFonts w:cs="Times New Roman"/>
                <w:b/>
                <w:bCs/>
                <w:kern w:val="0"/>
                <w:szCs w:val="24"/>
              </w:rPr>
            </w:pPr>
            <w:r>
              <w:rPr>
                <w:rFonts w:cs="Times New Roman"/>
                <w:b/>
                <w:bCs/>
                <w:kern w:val="0"/>
                <w:szCs w:val="24"/>
              </w:rPr>
              <w:t>2.7</w:t>
            </w:r>
          </w:p>
        </w:tc>
        <w:tc>
          <w:tcPr>
            <w:tcW w:w="363" w:type="pct"/>
            <w:tcBorders>
              <w:top w:val="single" w:color="auto" w:sz="4" w:space="0"/>
              <w:left w:val="nil"/>
              <w:bottom w:val="single" w:color="auto" w:sz="4" w:space="0"/>
              <w:right w:val="single" w:color="auto" w:sz="4" w:space="0"/>
            </w:tcBorders>
            <w:shd w:val="clear" w:color="auto" w:fill="auto"/>
            <w:vAlign w:val="center"/>
          </w:tcPr>
          <w:p w14:paraId="0D09ECC4">
            <w:pPr>
              <w:widowControl/>
              <w:adjustRightInd w:val="0"/>
              <w:jc w:val="center"/>
              <w:rPr>
                <w:rFonts w:cs="Times New Roman"/>
                <w:b/>
                <w:bCs/>
                <w:kern w:val="0"/>
                <w:szCs w:val="24"/>
              </w:rPr>
            </w:pPr>
            <w:r>
              <w:rPr>
                <w:rFonts w:cs="Times New Roman"/>
                <w:b/>
                <w:bCs/>
                <w:kern w:val="0"/>
                <w:szCs w:val="24"/>
              </w:rPr>
              <w:t>2.8</w:t>
            </w:r>
          </w:p>
        </w:tc>
      </w:tr>
      <w:tr w14:paraId="6B68DCE4">
        <w:tblPrEx>
          <w:tblCellMar>
            <w:top w:w="0" w:type="dxa"/>
            <w:left w:w="108" w:type="dxa"/>
            <w:bottom w:w="0" w:type="dxa"/>
            <w:right w:w="108" w:type="dxa"/>
          </w:tblCellMar>
        </w:tblPrEx>
        <w:trPr>
          <w:trHeight w:val="342"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5ADA09A0">
            <w:pPr>
              <w:widowControl/>
              <w:adjustRightInd w:val="0"/>
              <w:jc w:val="center"/>
              <w:rPr>
                <w:rFonts w:cs="Times New Roman"/>
                <w:kern w:val="0"/>
                <w:szCs w:val="24"/>
              </w:rPr>
            </w:pPr>
            <w:r>
              <w:rPr>
                <w:rFonts w:cs="Times New Roman"/>
                <w:kern w:val="0"/>
                <w:szCs w:val="24"/>
              </w:rPr>
              <w:t>流域防洪排涝减灾</w:t>
            </w:r>
          </w:p>
        </w:tc>
        <w:tc>
          <w:tcPr>
            <w:tcW w:w="169" w:type="pct"/>
            <w:tcBorders>
              <w:top w:val="nil"/>
              <w:left w:val="nil"/>
              <w:bottom w:val="single" w:color="auto" w:sz="4" w:space="0"/>
              <w:right w:val="single" w:color="auto" w:sz="4" w:space="0"/>
            </w:tcBorders>
            <w:shd w:val="clear" w:color="auto" w:fill="auto"/>
            <w:vAlign w:val="center"/>
          </w:tcPr>
          <w:p w14:paraId="79B021F4">
            <w:pPr>
              <w:widowControl/>
              <w:adjustRightInd w:val="0"/>
              <w:jc w:val="center"/>
              <w:rPr>
                <w:rFonts w:cs="Times New Roman"/>
                <w:kern w:val="0"/>
                <w:szCs w:val="24"/>
              </w:rPr>
            </w:pPr>
            <w:r>
              <w:rPr>
                <w:rFonts w:cs="Times New Roman"/>
                <w:kern w:val="0"/>
                <w:szCs w:val="24"/>
              </w:rPr>
              <w:t>7</w:t>
            </w:r>
          </w:p>
        </w:tc>
        <w:tc>
          <w:tcPr>
            <w:tcW w:w="3147" w:type="pct"/>
            <w:tcBorders>
              <w:top w:val="nil"/>
              <w:left w:val="nil"/>
              <w:bottom w:val="single" w:color="auto" w:sz="4" w:space="0"/>
              <w:right w:val="single" w:color="auto" w:sz="4" w:space="0"/>
            </w:tcBorders>
            <w:shd w:val="clear" w:color="auto" w:fill="auto"/>
            <w:vAlign w:val="center"/>
          </w:tcPr>
          <w:p w14:paraId="75137DE1">
            <w:pPr>
              <w:widowControl/>
              <w:adjustRightInd w:val="0"/>
              <w:jc w:val="center"/>
              <w:rPr>
                <w:rFonts w:cs="Times New Roman"/>
                <w:kern w:val="0"/>
                <w:szCs w:val="24"/>
              </w:rPr>
            </w:pPr>
            <w:r>
              <w:rPr>
                <w:rFonts w:cs="Times New Roman"/>
                <w:kern w:val="0"/>
                <w:szCs w:val="24"/>
              </w:rPr>
              <w:t>主城区中小河流治理（哈德门沟河道治理工程；昆都仑河河道治理工程；四道沙河上游生态综合治理工程）</w:t>
            </w:r>
          </w:p>
        </w:tc>
        <w:tc>
          <w:tcPr>
            <w:tcW w:w="383" w:type="pct"/>
            <w:tcBorders>
              <w:top w:val="nil"/>
              <w:left w:val="nil"/>
              <w:bottom w:val="single" w:color="auto" w:sz="4" w:space="0"/>
              <w:right w:val="single" w:color="auto" w:sz="4" w:space="0"/>
            </w:tcBorders>
            <w:shd w:val="clear" w:color="auto" w:fill="auto"/>
            <w:vAlign w:val="center"/>
          </w:tcPr>
          <w:p w14:paraId="07D124D7">
            <w:pPr>
              <w:widowControl/>
              <w:adjustRightInd w:val="0"/>
              <w:jc w:val="center"/>
              <w:rPr>
                <w:rFonts w:cs="Times New Roman"/>
                <w:kern w:val="0"/>
                <w:szCs w:val="24"/>
              </w:rPr>
            </w:pPr>
            <w:r>
              <w:rPr>
                <w:rFonts w:cs="Times New Roman"/>
                <w:kern w:val="0"/>
                <w:szCs w:val="24"/>
              </w:rPr>
              <w:t>4.8</w:t>
            </w:r>
          </w:p>
        </w:tc>
        <w:tc>
          <w:tcPr>
            <w:tcW w:w="363" w:type="pct"/>
            <w:tcBorders>
              <w:top w:val="nil"/>
              <w:left w:val="nil"/>
              <w:bottom w:val="single" w:color="auto" w:sz="4" w:space="0"/>
              <w:right w:val="single" w:color="auto" w:sz="4" w:space="0"/>
            </w:tcBorders>
            <w:shd w:val="clear" w:color="auto" w:fill="auto"/>
            <w:vAlign w:val="center"/>
          </w:tcPr>
          <w:p w14:paraId="7D7F0892">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0D78B949">
            <w:pPr>
              <w:widowControl/>
              <w:adjustRightInd w:val="0"/>
              <w:jc w:val="center"/>
              <w:rPr>
                <w:rFonts w:cs="Times New Roman"/>
                <w:kern w:val="0"/>
                <w:szCs w:val="24"/>
              </w:rPr>
            </w:pPr>
            <w:r>
              <w:rPr>
                <w:rFonts w:cs="Times New Roman"/>
                <w:kern w:val="0"/>
                <w:szCs w:val="24"/>
              </w:rPr>
              <w:t>4.8</w:t>
            </w:r>
          </w:p>
        </w:tc>
      </w:tr>
      <w:tr w14:paraId="2AFC5124">
        <w:tblPrEx>
          <w:tblCellMar>
            <w:top w:w="0" w:type="dxa"/>
            <w:left w:w="108" w:type="dxa"/>
            <w:bottom w:w="0" w:type="dxa"/>
            <w:right w:w="108" w:type="dxa"/>
          </w:tblCellMar>
        </w:tblPrEx>
        <w:trPr>
          <w:trHeight w:val="1317"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30EEF996">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5AE9B28D">
            <w:pPr>
              <w:widowControl/>
              <w:adjustRightInd w:val="0"/>
              <w:jc w:val="center"/>
              <w:rPr>
                <w:rFonts w:cs="Times New Roman"/>
                <w:kern w:val="0"/>
                <w:szCs w:val="24"/>
              </w:rPr>
            </w:pPr>
            <w:r>
              <w:rPr>
                <w:rFonts w:cs="Times New Roman"/>
                <w:kern w:val="0"/>
                <w:szCs w:val="24"/>
              </w:rPr>
              <w:t>8</w:t>
            </w:r>
          </w:p>
        </w:tc>
        <w:tc>
          <w:tcPr>
            <w:tcW w:w="3147" w:type="pct"/>
            <w:tcBorders>
              <w:top w:val="nil"/>
              <w:left w:val="nil"/>
              <w:bottom w:val="single" w:color="auto" w:sz="4" w:space="0"/>
              <w:right w:val="single" w:color="auto" w:sz="4" w:space="0"/>
            </w:tcBorders>
            <w:shd w:val="clear" w:color="auto" w:fill="auto"/>
            <w:vAlign w:val="center"/>
          </w:tcPr>
          <w:p w14:paraId="5273BADD">
            <w:pPr>
              <w:widowControl/>
              <w:adjustRightInd w:val="0"/>
              <w:jc w:val="center"/>
              <w:rPr>
                <w:rFonts w:cs="Times New Roman"/>
                <w:kern w:val="0"/>
                <w:szCs w:val="24"/>
              </w:rPr>
            </w:pPr>
            <w:r>
              <w:rPr>
                <w:rFonts w:cs="Times New Roman"/>
                <w:kern w:val="0"/>
                <w:szCs w:val="24"/>
              </w:rPr>
              <w:t>乡村山洪沟治理工程（九原区哈德门沟左岸新建堤防1.934km，左岸加固堤防3.459km，右岸新建堤防5.474km，右岸加固堤防3.459km，河道疏浚8.933km；梅力更沟新建堤防左右岸各7.149km，河道疏浚7.149km；乌兰不浪沟新建堤防左右岸各2.856km，河道疏浚2.856km；大坝沟新建堤防左右岸各2.71km，河道疏浚2.71km；白石头沟新建堤防左右岸各2.943km，河道疏浚2.943km；虎贲亥沟左岸新建堤防0.5km，河道疏浚0.5km。）</w:t>
            </w:r>
          </w:p>
        </w:tc>
        <w:tc>
          <w:tcPr>
            <w:tcW w:w="383" w:type="pct"/>
            <w:tcBorders>
              <w:top w:val="nil"/>
              <w:left w:val="nil"/>
              <w:bottom w:val="single" w:color="auto" w:sz="4" w:space="0"/>
              <w:right w:val="single" w:color="auto" w:sz="4" w:space="0"/>
            </w:tcBorders>
            <w:shd w:val="clear" w:color="auto" w:fill="auto"/>
            <w:vAlign w:val="center"/>
          </w:tcPr>
          <w:p w14:paraId="3CD4A2DA">
            <w:pPr>
              <w:widowControl/>
              <w:adjustRightInd w:val="0"/>
              <w:jc w:val="center"/>
              <w:rPr>
                <w:rFonts w:cs="Times New Roman"/>
                <w:kern w:val="0"/>
                <w:szCs w:val="24"/>
              </w:rPr>
            </w:pPr>
            <w:r>
              <w:rPr>
                <w:rFonts w:cs="Times New Roman"/>
                <w:kern w:val="0"/>
                <w:szCs w:val="24"/>
              </w:rPr>
              <w:t>0.34</w:t>
            </w:r>
          </w:p>
        </w:tc>
        <w:tc>
          <w:tcPr>
            <w:tcW w:w="363" w:type="pct"/>
            <w:tcBorders>
              <w:top w:val="nil"/>
              <w:left w:val="nil"/>
              <w:bottom w:val="single" w:color="auto" w:sz="4" w:space="0"/>
              <w:right w:val="single" w:color="auto" w:sz="4" w:space="0"/>
            </w:tcBorders>
            <w:shd w:val="clear" w:color="auto" w:fill="auto"/>
            <w:vAlign w:val="center"/>
          </w:tcPr>
          <w:p w14:paraId="4478549F">
            <w:pPr>
              <w:widowControl/>
              <w:adjustRightInd w:val="0"/>
              <w:jc w:val="center"/>
              <w:rPr>
                <w:rFonts w:cs="Times New Roman"/>
                <w:kern w:val="0"/>
                <w:szCs w:val="24"/>
              </w:rPr>
            </w:pPr>
            <w:r>
              <w:rPr>
                <w:rFonts w:cs="Times New Roman"/>
                <w:kern w:val="0"/>
                <w:szCs w:val="24"/>
              </w:rPr>
              <w:t>0.52</w:t>
            </w:r>
          </w:p>
        </w:tc>
        <w:tc>
          <w:tcPr>
            <w:tcW w:w="363" w:type="pct"/>
            <w:tcBorders>
              <w:top w:val="nil"/>
              <w:left w:val="nil"/>
              <w:bottom w:val="single" w:color="auto" w:sz="4" w:space="0"/>
              <w:right w:val="single" w:color="auto" w:sz="4" w:space="0"/>
            </w:tcBorders>
            <w:shd w:val="clear" w:color="auto" w:fill="auto"/>
            <w:vAlign w:val="center"/>
          </w:tcPr>
          <w:p w14:paraId="57531FEB">
            <w:pPr>
              <w:widowControl/>
              <w:adjustRightInd w:val="0"/>
              <w:jc w:val="center"/>
              <w:rPr>
                <w:rFonts w:cs="Times New Roman"/>
                <w:kern w:val="0"/>
                <w:szCs w:val="24"/>
              </w:rPr>
            </w:pPr>
            <w:r>
              <w:rPr>
                <w:rFonts w:cs="Times New Roman"/>
                <w:kern w:val="0"/>
                <w:szCs w:val="24"/>
              </w:rPr>
              <w:t>0.86</w:t>
            </w:r>
          </w:p>
        </w:tc>
      </w:tr>
      <w:tr w14:paraId="749E5B2F">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2CC19298">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192193C2">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382E3858">
            <w:pPr>
              <w:widowControl/>
              <w:adjustRightInd w:val="0"/>
              <w:jc w:val="center"/>
              <w:rPr>
                <w:rFonts w:cs="Times New Roman"/>
                <w:b/>
                <w:bCs/>
                <w:kern w:val="0"/>
                <w:szCs w:val="24"/>
              </w:rPr>
            </w:pPr>
            <w:r>
              <w:rPr>
                <w:rFonts w:cs="Times New Roman"/>
                <w:b/>
                <w:bCs/>
                <w:kern w:val="0"/>
                <w:szCs w:val="24"/>
              </w:rPr>
              <w:t>5.14</w:t>
            </w:r>
          </w:p>
        </w:tc>
        <w:tc>
          <w:tcPr>
            <w:tcW w:w="363" w:type="pct"/>
            <w:tcBorders>
              <w:top w:val="nil"/>
              <w:left w:val="nil"/>
              <w:bottom w:val="single" w:color="auto" w:sz="4" w:space="0"/>
              <w:right w:val="single" w:color="auto" w:sz="4" w:space="0"/>
            </w:tcBorders>
            <w:shd w:val="clear" w:color="auto" w:fill="auto"/>
            <w:vAlign w:val="center"/>
          </w:tcPr>
          <w:p w14:paraId="60344AA7">
            <w:pPr>
              <w:widowControl/>
              <w:adjustRightInd w:val="0"/>
              <w:jc w:val="center"/>
              <w:rPr>
                <w:rFonts w:cs="Times New Roman"/>
                <w:b/>
                <w:bCs/>
                <w:kern w:val="0"/>
                <w:szCs w:val="24"/>
              </w:rPr>
            </w:pPr>
            <w:r>
              <w:rPr>
                <w:rFonts w:cs="Times New Roman"/>
                <w:b/>
                <w:bCs/>
                <w:kern w:val="0"/>
                <w:szCs w:val="24"/>
              </w:rPr>
              <w:t>0.52</w:t>
            </w:r>
          </w:p>
        </w:tc>
        <w:tc>
          <w:tcPr>
            <w:tcW w:w="363" w:type="pct"/>
            <w:tcBorders>
              <w:top w:val="nil"/>
              <w:left w:val="nil"/>
              <w:bottom w:val="single" w:color="auto" w:sz="4" w:space="0"/>
              <w:right w:val="single" w:color="auto" w:sz="4" w:space="0"/>
            </w:tcBorders>
            <w:shd w:val="clear" w:color="auto" w:fill="auto"/>
            <w:vAlign w:val="center"/>
          </w:tcPr>
          <w:p w14:paraId="5120DBD5">
            <w:pPr>
              <w:widowControl/>
              <w:adjustRightInd w:val="0"/>
              <w:jc w:val="center"/>
              <w:rPr>
                <w:rFonts w:cs="Times New Roman"/>
                <w:b/>
                <w:bCs/>
                <w:kern w:val="0"/>
                <w:szCs w:val="24"/>
              </w:rPr>
            </w:pPr>
            <w:r>
              <w:rPr>
                <w:rFonts w:cs="Times New Roman"/>
                <w:b/>
                <w:bCs/>
                <w:kern w:val="0"/>
                <w:szCs w:val="24"/>
              </w:rPr>
              <w:t>5.66</w:t>
            </w:r>
          </w:p>
        </w:tc>
      </w:tr>
      <w:tr w14:paraId="6EA34A1F">
        <w:tblPrEx>
          <w:tblCellMar>
            <w:top w:w="0" w:type="dxa"/>
            <w:left w:w="108" w:type="dxa"/>
            <w:bottom w:w="0" w:type="dxa"/>
            <w:right w:w="108" w:type="dxa"/>
          </w:tblCellMar>
        </w:tblPrEx>
        <w:trPr>
          <w:trHeight w:val="315"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7A1D0DFC">
            <w:pPr>
              <w:widowControl/>
              <w:adjustRightInd w:val="0"/>
              <w:jc w:val="center"/>
              <w:rPr>
                <w:rFonts w:cs="Times New Roman"/>
                <w:kern w:val="0"/>
                <w:szCs w:val="24"/>
              </w:rPr>
            </w:pPr>
            <w:bookmarkStart w:id="211" w:name="_Hlk197526500"/>
            <w:r>
              <w:rPr>
                <w:rFonts w:cs="Times New Roman"/>
                <w:kern w:val="0"/>
                <w:szCs w:val="24"/>
              </w:rPr>
              <w:t>数字孪生水网建设</w:t>
            </w:r>
            <w:bookmarkEnd w:id="211"/>
          </w:p>
        </w:tc>
        <w:tc>
          <w:tcPr>
            <w:tcW w:w="169" w:type="pct"/>
            <w:tcBorders>
              <w:top w:val="nil"/>
              <w:left w:val="nil"/>
              <w:bottom w:val="single" w:color="auto" w:sz="4" w:space="0"/>
              <w:right w:val="single" w:color="auto" w:sz="4" w:space="0"/>
            </w:tcBorders>
            <w:shd w:val="clear" w:color="auto" w:fill="auto"/>
            <w:vAlign w:val="center"/>
          </w:tcPr>
          <w:p w14:paraId="47AE7CC0">
            <w:pPr>
              <w:widowControl/>
              <w:adjustRightInd w:val="0"/>
              <w:jc w:val="center"/>
              <w:rPr>
                <w:rFonts w:cs="Times New Roman"/>
                <w:kern w:val="0"/>
                <w:szCs w:val="24"/>
              </w:rPr>
            </w:pPr>
            <w:r>
              <w:rPr>
                <w:rFonts w:cs="Times New Roman"/>
                <w:kern w:val="0"/>
                <w:szCs w:val="24"/>
              </w:rPr>
              <w:t>9</w:t>
            </w:r>
          </w:p>
        </w:tc>
        <w:tc>
          <w:tcPr>
            <w:tcW w:w="3147" w:type="pct"/>
            <w:tcBorders>
              <w:top w:val="nil"/>
              <w:left w:val="nil"/>
              <w:bottom w:val="single" w:color="auto" w:sz="4" w:space="0"/>
              <w:right w:val="single" w:color="auto" w:sz="4" w:space="0"/>
            </w:tcBorders>
            <w:shd w:val="clear" w:color="auto" w:fill="auto"/>
            <w:vAlign w:val="center"/>
          </w:tcPr>
          <w:p w14:paraId="0BF4A380">
            <w:pPr>
              <w:widowControl/>
              <w:adjustRightInd w:val="0"/>
              <w:jc w:val="center"/>
              <w:rPr>
                <w:rFonts w:cs="Times New Roman"/>
                <w:kern w:val="0"/>
                <w:szCs w:val="24"/>
              </w:rPr>
            </w:pPr>
            <w:r>
              <w:rPr>
                <w:rFonts w:cs="Times New Roman"/>
                <w:kern w:val="0"/>
                <w:szCs w:val="24"/>
              </w:rPr>
              <w:t>信息化基础设施建设工程</w:t>
            </w:r>
          </w:p>
        </w:tc>
        <w:tc>
          <w:tcPr>
            <w:tcW w:w="383" w:type="pct"/>
            <w:tcBorders>
              <w:top w:val="nil"/>
              <w:left w:val="nil"/>
              <w:bottom w:val="single" w:color="auto" w:sz="4" w:space="0"/>
              <w:right w:val="single" w:color="auto" w:sz="4" w:space="0"/>
            </w:tcBorders>
            <w:shd w:val="clear" w:color="auto" w:fill="auto"/>
            <w:vAlign w:val="center"/>
          </w:tcPr>
          <w:p w14:paraId="43311F7F">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4E92153E">
            <w:pPr>
              <w:widowControl/>
              <w:adjustRightInd w:val="0"/>
              <w:jc w:val="center"/>
              <w:rPr>
                <w:rFonts w:cs="Times New Roman"/>
                <w:kern w:val="0"/>
                <w:szCs w:val="24"/>
              </w:rPr>
            </w:pPr>
            <w:r>
              <w:rPr>
                <w:rFonts w:cs="Times New Roman"/>
                <w:kern w:val="0"/>
                <w:szCs w:val="24"/>
              </w:rPr>
              <w:t>0.5</w:t>
            </w:r>
          </w:p>
        </w:tc>
        <w:tc>
          <w:tcPr>
            <w:tcW w:w="363" w:type="pct"/>
            <w:tcBorders>
              <w:top w:val="nil"/>
              <w:left w:val="nil"/>
              <w:bottom w:val="single" w:color="auto" w:sz="4" w:space="0"/>
              <w:right w:val="single" w:color="auto" w:sz="4" w:space="0"/>
            </w:tcBorders>
            <w:shd w:val="clear" w:color="auto" w:fill="auto"/>
            <w:vAlign w:val="center"/>
          </w:tcPr>
          <w:p w14:paraId="5545B7A6">
            <w:pPr>
              <w:widowControl/>
              <w:adjustRightInd w:val="0"/>
              <w:jc w:val="center"/>
              <w:rPr>
                <w:rFonts w:cs="Times New Roman"/>
                <w:kern w:val="0"/>
                <w:szCs w:val="24"/>
              </w:rPr>
            </w:pPr>
            <w:r>
              <w:rPr>
                <w:rFonts w:cs="Times New Roman"/>
                <w:kern w:val="0"/>
                <w:szCs w:val="24"/>
              </w:rPr>
              <w:t>0.8</w:t>
            </w:r>
          </w:p>
        </w:tc>
      </w:tr>
      <w:tr w14:paraId="742B9CB8">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095F79E8">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2ED46976">
            <w:pPr>
              <w:widowControl/>
              <w:adjustRightInd w:val="0"/>
              <w:jc w:val="center"/>
              <w:rPr>
                <w:rFonts w:cs="Times New Roman"/>
                <w:kern w:val="0"/>
                <w:szCs w:val="24"/>
              </w:rPr>
            </w:pPr>
            <w:r>
              <w:rPr>
                <w:rFonts w:cs="Times New Roman"/>
                <w:kern w:val="0"/>
                <w:szCs w:val="24"/>
              </w:rPr>
              <w:t>10</w:t>
            </w:r>
          </w:p>
        </w:tc>
        <w:tc>
          <w:tcPr>
            <w:tcW w:w="3147" w:type="pct"/>
            <w:tcBorders>
              <w:top w:val="nil"/>
              <w:left w:val="nil"/>
              <w:bottom w:val="single" w:color="auto" w:sz="4" w:space="0"/>
              <w:right w:val="single" w:color="auto" w:sz="4" w:space="0"/>
            </w:tcBorders>
            <w:shd w:val="clear" w:color="auto" w:fill="auto"/>
            <w:vAlign w:val="center"/>
          </w:tcPr>
          <w:p w14:paraId="25DEA5D7">
            <w:pPr>
              <w:widowControl/>
              <w:adjustRightInd w:val="0"/>
              <w:jc w:val="center"/>
              <w:rPr>
                <w:rFonts w:cs="Times New Roman"/>
                <w:kern w:val="0"/>
                <w:szCs w:val="24"/>
              </w:rPr>
            </w:pPr>
            <w:r>
              <w:rPr>
                <w:rFonts w:cs="Times New Roman"/>
                <w:kern w:val="0"/>
                <w:szCs w:val="24"/>
              </w:rPr>
              <w:t>数据融合中心建设工程</w:t>
            </w:r>
          </w:p>
        </w:tc>
        <w:tc>
          <w:tcPr>
            <w:tcW w:w="383" w:type="pct"/>
            <w:tcBorders>
              <w:top w:val="nil"/>
              <w:left w:val="nil"/>
              <w:bottom w:val="single" w:color="auto" w:sz="4" w:space="0"/>
              <w:right w:val="single" w:color="auto" w:sz="4" w:space="0"/>
            </w:tcBorders>
            <w:shd w:val="clear" w:color="auto" w:fill="auto"/>
            <w:vAlign w:val="center"/>
          </w:tcPr>
          <w:p w14:paraId="698CF801">
            <w:pPr>
              <w:widowControl/>
              <w:adjustRightInd w:val="0"/>
              <w:jc w:val="center"/>
              <w:rPr>
                <w:rFonts w:cs="Times New Roman"/>
                <w:kern w:val="0"/>
                <w:szCs w:val="24"/>
              </w:rPr>
            </w:pPr>
            <w:r>
              <w:rPr>
                <w:rFonts w:cs="Times New Roman"/>
                <w:kern w:val="0"/>
                <w:szCs w:val="24"/>
              </w:rPr>
              <w:t>0.06</w:t>
            </w:r>
          </w:p>
        </w:tc>
        <w:tc>
          <w:tcPr>
            <w:tcW w:w="363" w:type="pct"/>
            <w:tcBorders>
              <w:top w:val="nil"/>
              <w:left w:val="nil"/>
              <w:bottom w:val="single" w:color="auto" w:sz="4" w:space="0"/>
              <w:right w:val="single" w:color="auto" w:sz="4" w:space="0"/>
            </w:tcBorders>
            <w:shd w:val="clear" w:color="auto" w:fill="auto"/>
            <w:vAlign w:val="center"/>
          </w:tcPr>
          <w:p w14:paraId="60132277">
            <w:pPr>
              <w:widowControl/>
              <w:adjustRightInd w:val="0"/>
              <w:jc w:val="center"/>
              <w:rPr>
                <w:rFonts w:cs="Times New Roman"/>
                <w:kern w:val="0"/>
                <w:szCs w:val="24"/>
              </w:rPr>
            </w:pPr>
            <w:r>
              <w:rPr>
                <w:rFonts w:cs="Times New Roman"/>
                <w:kern w:val="0"/>
                <w:szCs w:val="24"/>
              </w:rPr>
              <w:t>0.19</w:t>
            </w:r>
          </w:p>
        </w:tc>
        <w:tc>
          <w:tcPr>
            <w:tcW w:w="363" w:type="pct"/>
            <w:tcBorders>
              <w:top w:val="nil"/>
              <w:left w:val="nil"/>
              <w:bottom w:val="single" w:color="auto" w:sz="4" w:space="0"/>
              <w:right w:val="single" w:color="auto" w:sz="4" w:space="0"/>
            </w:tcBorders>
            <w:shd w:val="clear" w:color="auto" w:fill="auto"/>
            <w:vAlign w:val="center"/>
          </w:tcPr>
          <w:p w14:paraId="591E22D8">
            <w:pPr>
              <w:widowControl/>
              <w:adjustRightInd w:val="0"/>
              <w:jc w:val="center"/>
              <w:rPr>
                <w:rFonts w:cs="Times New Roman"/>
                <w:kern w:val="0"/>
                <w:szCs w:val="24"/>
              </w:rPr>
            </w:pPr>
            <w:r>
              <w:rPr>
                <w:rFonts w:cs="Times New Roman"/>
                <w:kern w:val="0"/>
                <w:szCs w:val="24"/>
              </w:rPr>
              <w:t>0.25</w:t>
            </w:r>
          </w:p>
        </w:tc>
      </w:tr>
      <w:tr w14:paraId="2C12B61B">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48284065">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4B3B3EC7">
            <w:pPr>
              <w:widowControl/>
              <w:adjustRightInd w:val="0"/>
              <w:jc w:val="center"/>
              <w:rPr>
                <w:rFonts w:cs="Times New Roman"/>
                <w:kern w:val="0"/>
                <w:szCs w:val="24"/>
              </w:rPr>
            </w:pPr>
            <w:r>
              <w:rPr>
                <w:rFonts w:cs="Times New Roman"/>
                <w:kern w:val="0"/>
                <w:szCs w:val="24"/>
              </w:rPr>
              <w:t>11</w:t>
            </w:r>
          </w:p>
        </w:tc>
        <w:tc>
          <w:tcPr>
            <w:tcW w:w="3147" w:type="pct"/>
            <w:tcBorders>
              <w:top w:val="nil"/>
              <w:left w:val="nil"/>
              <w:bottom w:val="single" w:color="auto" w:sz="4" w:space="0"/>
              <w:right w:val="single" w:color="auto" w:sz="4" w:space="0"/>
            </w:tcBorders>
            <w:shd w:val="clear" w:color="auto" w:fill="auto"/>
            <w:vAlign w:val="center"/>
          </w:tcPr>
          <w:p w14:paraId="3AE43B33">
            <w:pPr>
              <w:widowControl/>
              <w:adjustRightInd w:val="0"/>
              <w:jc w:val="center"/>
              <w:rPr>
                <w:rFonts w:cs="Times New Roman"/>
                <w:kern w:val="0"/>
                <w:szCs w:val="24"/>
              </w:rPr>
            </w:pPr>
            <w:r>
              <w:rPr>
                <w:rFonts w:cs="Times New Roman"/>
                <w:kern w:val="0"/>
                <w:szCs w:val="24"/>
              </w:rPr>
              <w:t>智能业务应用及保障体系</w:t>
            </w:r>
          </w:p>
        </w:tc>
        <w:tc>
          <w:tcPr>
            <w:tcW w:w="383" w:type="pct"/>
            <w:tcBorders>
              <w:top w:val="nil"/>
              <w:left w:val="nil"/>
              <w:bottom w:val="single" w:color="auto" w:sz="4" w:space="0"/>
              <w:right w:val="single" w:color="auto" w:sz="4" w:space="0"/>
            </w:tcBorders>
            <w:shd w:val="clear" w:color="auto" w:fill="auto"/>
            <w:vAlign w:val="center"/>
          </w:tcPr>
          <w:p w14:paraId="60BFE460">
            <w:pPr>
              <w:widowControl/>
              <w:adjustRightInd w:val="0"/>
              <w:jc w:val="center"/>
              <w:rPr>
                <w:rFonts w:cs="Times New Roman"/>
                <w:kern w:val="0"/>
                <w:szCs w:val="24"/>
              </w:rPr>
            </w:pPr>
            <w:r>
              <w:rPr>
                <w:rFonts w:cs="Times New Roman"/>
                <w:kern w:val="0"/>
                <w:szCs w:val="24"/>
              </w:rPr>
              <w:t>0.25</w:t>
            </w:r>
          </w:p>
        </w:tc>
        <w:tc>
          <w:tcPr>
            <w:tcW w:w="363" w:type="pct"/>
            <w:tcBorders>
              <w:top w:val="nil"/>
              <w:left w:val="nil"/>
              <w:bottom w:val="single" w:color="auto" w:sz="4" w:space="0"/>
              <w:right w:val="single" w:color="auto" w:sz="4" w:space="0"/>
            </w:tcBorders>
            <w:shd w:val="clear" w:color="auto" w:fill="auto"/>
            <w:vAlign w:val="center"/>
          </w:tcPr>
          <w:p w14:paraId="3CA91057">
            <w:pPr>
              <w:widowControl/>
              <w:adjustRightInd w:val="0"/>
              <w:jc w:val="center"/>
              <w:rPr>
                <w:rFonts w:cs="Times New Roman"/>
                <w:kern w:val="0"/>
                <w:szCs w:val="24"/>
              </w:rPr>
            </w:pPr>
            <w:r>
              <w:rPr>
                <w:rFonts w:cs="Times New Roman"/>
                <w:kern w:val="0"/>
                <w:szCs w:val="24"/>
              </w:rPr>
              <w:t>1.04</w:t>
            </w:r>
          </w:p>
        </w:tc>
        <w:tc>
          <w:tcPr>
            <w:tcW w:w="363" w:type="pct"/>
            <w:tcBorders>
              <w:top w:val="nil"/>
              <w:left w:val="nil"/>
              <w:bottom w:val="single" w:color="auto" w:sz="4" w:space="0"/>
              <w:right w:val="single" w:color="auto" w:sz="4" w:space="0"/>
            </w:tcBorders>
            <w:shd w:val="clear" w:color="auto" w:fill="auto"/>
            <w:vAlign w:val="center"/>
          </w:tcPr>
          <w:p w14:paraId="3CE4AECD">
            <w:pPr>
              <w:widowControl/>
              <w:adjustRightInd w:val="0"/>
              <w:jc w:val="center"/>
              <w:rPr>
                <w:rFonts w:cs="Times New Roman"/>
                <w:kern w:val="0"/>
                <w:szCs w:val="24"/>
              </w:rPr>
            </w:pPr>
            <w:r>
              <w:rPr>
                <w:rFonts w:cs="Times New Roman"/>
                <w:kern w:val="0"/>
                <w:szCs w:val="24"/>
              </w:rPr>
              <w:t>1.29</w:t>
            </w:r>
          </w:p>
        </w:tc>
      </w:tr>
      <w:tr w14:paraId="39473287">
        <w:tblPrEx>
          <w:tblCellMar>
            <w:top w:w="0" w:type="dxa"/>
            <w:left w:w="108" w:type="dxa"/>
            <w:bottom w:w="0" w:type="dxa"/>
            <w:right w:w="108" w:type="dxa"/>
          </w:tblCellMar>
        </w:tblPrEx>
        <w:trPr>
          <w:trHeight w:val="315"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64E0F629">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25506042">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178983E5">
            <w:pPr>
              <w:widowControl/>
              <w:adjustRightInd w:val="0"/>
              <w:jc w:val="center"/>
              <w:rPr>
                <w:rFonts w:cs="Times New Roman"/>
                <w:b/>
                <w:bCs/>
                <w:kern w:val="0"/>
                <w:szCs w:val="24"/>
              </w:rPr>
            </w:pPr>
            <w:r>
              <w:rPr>
                <w:rFonts w:cs="Times New Roman"/>
                <w:b/>
                <w:bCs/>
                <w:kern w:val="0"/>
                <w:szCs w:val="24"/>
              </w:rPr>
              <w:t>0.61</w:t>
            </w:r>
          </w:p>
        </w:tc>
        <w:tc>
          <w:tcPr>
            <w:tcW w:w="363" w:type="pct"/>
            <w:tcBorders>
              <w:top w:val="nil"/>
              <w:left w:val="nil"/>
              <w:bottom w:val="single" w:color="auto" w:sz="4" w:space="0"/>
              <w:right w:val="single" w:color="auto" w:sz="4" w:space="0"/>
            </w:tcBorders>
            <w:shd w:val="clear" w:color="auto" w:fill="auto"/>
            <w:vAlign w:val="center"/>
          </w:tcPr>
          <w:p w14:paraId="11959959">
            <w:pPr>
              <w:widowControl/>
              <w:adjustRightInd w:val="0"/>
              <w:jc w:val="center"/>
              <w:rPr>
                <w:rFonts w:cs="Times New Roman"/>
                <w:b/>
                <w:bCs/>
                <w:kern w:val="0"/>
                <w:szCs w:val="24"/>
              </w:rPr>
            </w:pPr>
            <w:r>
              <w:rPr>
                <w:rFonts w:cs="Times New Roman"/>
                <w:b/>
                <w:bCs/>
                <w:kern w:val="0"/>
                <w:szCs w:val="24"/>
              </w:rPr>
              <w:t>1.73</w:t>
            </w:r>
          </w:p>
        </w:tc>
        <w:tc>
          <w:tcPr>
            <w:tcW w:w="363" w:type="pct"/>
            <w:tcBorders>
              <w:top w:val="nil"/>
              <w:left w:val="nil"/>
              <w:bottom w:val="single" w:color="auto" w:sz="4" w:space="0"/>
              <w:right w:val="single" w:color="auto" w:sz="4" w:space="0"/>
            </w:tcBorders>
            <w:shd w:val="clear" w:color="auto" w:fill="auto"/>
            <w:vAlign w:val="center"/>
          </w:tcPr>
          <w:p w14:paraId="3328A4CE">
            <w:pPr>
              <w:widowControl/>
              <w:adjustRightInd w:val="0"/>
              <w:jc w:val="center"/>
              <w:rPr>
                <w:rFonts w:cs="Times New Roman"/>
                <w:b/>
                <w:bCs/>
                <w:kern w:val="0"/>
                <w:szCs w:val="24"/>
              </w:rPr>
            </w:pPr>
            <w:r>
              <w:rPr>
                <w:rFonts w:cs="Times New Roman"/>
                <w:b/>
                <w:bCs/>
                <w:kern w:val="0"/>
                <w:szCs w:val="24"/>
              </w:rPr>
              <w:t>2.34</w:t>
            </w:r>
          </w:p>
        </w:tc>
      </w:tr>
      <w:tr w14:paraId="17D9C6F8">
        <w:tblPrEx>
          <w:tblCellMar>
            <w:top w:w="0" w:type="dxa"/>
            <w:left w:w="108" w:type="dxa"/>
            <w:bottom w:w="0" w:type="dxa"/>
            <w:right w:w="108" w:type="dxa"/>
          </w:tblCellMar>
        </w:tblPrEx>
        <w:trPr>
          <w:trHeight w:val="315" w:hRule="atLeast"/>
        </w:trPr>
        <w:tc>
          <w:tcPr>
            <w:tcW w:w="3891"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7B6A27A7">
            <w:pPr>
              <w:widowControl/>
              <w:adjustRightInd w:val="0"/>
              <w:jc w:val="center"/>
              <w:rPr>
                <w:rFonts w:cs="Times New Roman"/>
                <w:b/>
                <w:bCs/>
                <w:kern w:val="0"/>
                <w:szCs w:val="24"/>
              </w:rPr>
            </w:pPr>
            <w:r>
              <w:rPr>
                <w:rFonts w:cs="Times New Roman"/>
                <w:b/>
                <w:bCs/>
                <w:kern w:val="0"/>
                <w:szCs w:val="24"/>
              </w:rPr>
              <w:t>合计</w:t>
            </w:r>
          </w:p>
        </w:tc>
        <w:tc>
          <w:tcPr>
            <w:tcW w:w="383" w:type="pct"/>
            <w:tcBorders>
              <w:top w:val="nil"/>
              <w:left w:val="nil"/>
              <w:bottom w:val="single" w:color="auto" w:sz="4" w:space="0"/>
              <w:right w:val="single" w:color="auto" w:sz="4" w:space="0"/>
            </w:tcBorders>
            <w:shd w:val="clear" w:color="auto" w:fill="auto"/>
            <w:vAlign w:val="center"/>
          </w:tcPr>
          <w:p w14:paraId="32801DDE">
            <w:pPr>
              <w:widowControl/>
              <w:adjustRightInd w:val="0"/>
              <w:jc w:val="center"/>
              <w:rPr>
                <w:rFonts w:cs="Times New Roman"/>
                <w:kern w:val="0"/>
                <w:szCs w:val="24"/>
              </w:rPr>
            </w:pPr>
            <w:r>
              <w:rPr>
                <w:rFonts w:cs="Times New Roman"/>
                <w:kern w:val="0"/>
                <w:szCs w:val="24"/>
              </w:rPr>
              <w:t>9.6</w:t>
            </w:r>
          </w:p>
        </w:tc>
        <w:tc>
          <w:tcPr>
            <w:tcW w:w="363" w:type="pct"/>
            <w:tcBorders>
              <w:top w:val="nil"/>
              <w:left w:val="nil"/>
              <w:bottom w:val="single" w:color="auto" w:sz="4" w:space="0"/>
              <w:right w:val="single" w:color="auto" w:sz="4" w:space="0"/>
            </w:tcBorders>
            <w:shd w:val="clear" w:color="auto" w:fill="auto"/>
            <w:vAlign w:val="center"/>
          </w:tcPr>
          <w:p w14:paraId="78068C36">
            <w:pPr>
              <w:widowControl/>
              <w:adjustRightInd w:val="0"/>
              <w:jc w:val="center"/>
              <w:rPr>
                <w:rFonts w:cs="Times New Roman"/>
                <w:kern w:val="0"/>
                <w:szCs w:val="24"/>
              </w:rPr>
            </w:pPr>
            <w:r>
              <w:rPr>
                <w:rFonts w:cs="Times New Roman"/>
                <w:kern w:val="0"/>
                <w:szCs w:val="24"/>
              </w:rPr>
              <w:t>7.33</w:t>
            </w:r>
          </w:p>
        </w:tc>
        <w:tc>
          <w:tcPr>
            <w:tcW w:w="363" w:type="pct"/>
            <w:tcBorders>
              <w:top w:val="nil"/>
              <w:left w:val="nil"/>
              <w:bottom w:val="single" w:color="auto" w:sz="4" w:space="0"/>
              <w:right w:val="single" w:color="auto" w:sz="4" w:space="0"/>
            </w:tcBorders>
            <w:shd w:val="clear" w:color="auto" w:fill="auto"/>
            <w:vAlign w:val="center"/>
          </w:tcPr>
          <w:p w14:paraId="2E3DE728">
            <w:pPr>
              <w:widowControl/>
              <w:adjustRightInd w:val="0"/>
              <w:jc w:val="center"/>
              <w:rPr>
                <w:rFonts w:cs="Times New Roman"/>
                <w:kern w:val="0"/>
                <w:szCs w:val="24"/>
              </w:rPr>
            </w:pPr>
            <w:r>
              <w:rPr>
                <w:rFonts w:cs="Times New Roman"/>
                <w:kern w:val="0"/>
                <w:szCs w:val="24"/>
              </w:rPr>
              <w:t>16.93</w:t>
            </w:r>
          </w:p>
        </w:tc>
      </w:tr>
    </w:tbl>
    <w:p w14:paraId="74230D16">
      <w:pPr>
        <w:widowControl/>
        <w:adjustRightInd w:val="0"/>
        <w:ind w:firstLine="560" w:firstLineChars="200"/>
        <w:rPr>
          <w:rFonts w:cs="Times New Roman"/>
          <w:sz w:val="28"/>
          <w:szCs w:val="28"/>
        </w:rPr>
        <w:sectPr>
          <w:pgSz w:w="23811" w:h="16838" w:orient="landscape"/>
          <w:pgMar w:top="1800" w:right="1440" w:bottom="1800" w:left="1440" w:header="851" w:footer="992" w:gutter="0"/>
          <w:cols w:space="425" w:num="1"/>
          <w:docGrid w:type="lines" w:linePitch="326" w:charSpace="0"/>
        </w:sectPr>
      </w:pPr>
    </w:p>
    <w:p w14:paraId="5A60AA79">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12" w:name="_Toc198652123"/>
      <w:r>
        <w:rPr>
          <w:rFonts w:hint="eastAsia" w:ascii="Times New Roman" w:hAnsi="Times New Roman" w:eastAsia="黑体" w:cs="Times New Roman"/>
          <w:b w:val="0"/>
          <w:bCs w:val="0"/>
          <w:kern w:val="0"/>
          <w:sz w:val="28"/>
          <w:szCs w:val="28"/>
        </w:rPr>
        <w:t>9.3资金筹措建议</w:t>
      </w:r>
      <w:bookmarkEnd w:id="212"/>
    </w:p>
    <w:p w14:paraId="405FDA02">
      <w:pPr>
        <w:widowControl/>
        <w:adjustRightInd w:val="0"/>
        <w:ind w:firstLine="560" w:firstLineChars="200"/>
        <w:rPr>
          <w:rFonts w:cs="Times New Roman"/>
          <w:sz w:val="28"/>
          <w:szCs w:val="28"/>
        </w:rPr>
      </w:pPr>
      <w:r>
        <w:rPr>
          <w:rFonts w:hint="eastAsia" w:cs="Times New Roman"/>
          <w:sz w:val="28"/>
          <w:szCs w:val="28"/>
        </w:rPr>
        <w:t>财政资金优先安排重大项目、重点区域、重大战略、跨苏木、村镇行政区相关项目。对于已有包头市资金投资渠道的项目，抓紧开展前期工作，积极列入相关规划和方案，争取包头市投入力度，分年安排建设。针对不同类型工程投资方式，采用分级负责、分类筹措的投入机制，统筹利用既有资金渠道，通过政府主导、市场推动、多元投入、社会参与，积极争取资金投入，保障规划项目建设实施。</w:t>
      </w:r>
    </w:p>
    <w:p w14:paraId="1B586B70">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1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⑴</w:t>
      </w:r>
      <w:r>
        <w:rPr>
          <w:rFonts w:cs="Times New Roman"/>
          <w:sz w:val="28"/>
          <w:szCs w:val="28"/>
        </w:rPr>
        <w:fldChar w:fldCharType="end"/>
      </w:r>
      <w:r>
        <w:rPr>
          <w:rFonts w:hint="eastAsia" w:cs="Times New Roman"/>
          <w:sz w:val="28"/>
          <w:szCs w:val="28"/>
        </w:rPr>
        <w:t>对于防洪提升、水资源配置、水生态保护与修复、智慧水利等工程。按照责、权、利相统一的原则，进一步明确市县事权，明确政府与市场以及各级政府投资分摊比例，用足用好中央和自治区财政专项转移支付等渠道，争取地市各级财政支持，整合涉水资金，鼓励和引导社会资金投入水利建设，多渠道争取各类资金投入，要充分发挥好财政资金的引导作用，探索政府购买公共服务在水生态治理领域的应用，促进社会资本的参与。</w:t>
      </w:r>
    </w:p>
    <w:p w14:paraId="391E7CFE">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2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⑵</w:t>
      </w:r>
      <w:r>
        <w:rPr>
          <w:rFonts w:cs="Times New Roman"/>
          <w:sz w:val="28"/>
          <w:szCs w:val="28"/>
        </w:rPr>
        <w:fldChar w:fldCharType="end"/>
      </w:r>
      <w:r>
        <w:rPr>
          <w:rFonts w:hint="eastAsia" w:cs="Times New Roman"/>
          <w:sz w:val="28"/>
          <w:szCs w:val="28"/>
        </w:rPr>
        <w:t>对于水污染防治、水环境治理等工程。按照部门职能分工，多渠道增加投入。在积极争取各级政府资金投入的同时，充分发挥好财政资金的引导作用，吸引社会资本，逐步完善中央、自治区与市级分级或分项目负责的共同投入机制，形成政府与市场共同发力的良性投入模式。</w:t>
      </w:r>
    </w:p>
    <w:p w14:paraId="37DBAAF5">
      <w:pPr>
        <w:widowControl/>
        <w:adjustRightInd w:val="0"/>
        <w:ind w:firstLine="560" w:firstLineChars="200"/>
        <w:rPr>
          <w:rFonts w:cs="Times New Roman"/>
          <w:sz w:val="28"/>
          <w:szCs w:val="28"/>
        </w:rPr>
      </w:pPr>
      <w:r>
        <w:rPr>
          <w:rFonts w:cs="Times New Roman"/>
          <w:sz w:val="28"/>
          <w:szCs w:val="28"/>
        </w:rPr>
        <w:fldChar w:fldCharType="begin"/>
      </w:r>
      <w:r>
        <w:rPr>
          <w:rFonts w:cs="Times New Roman"/>
          <w:sz w:val="28"/>
          <w:szCs w:val="28"/>
        </w:rPr>
        <w:instrText xml:space="preserve"> </w:instrText>
      </w:r>
      <w:r>
        <w:rPr>
          <w:rFonts w:hint="eastAsia" w:cs="Times New Roman"/>
          <w:sz w:val="28"/>
          <w:szCs w:val="28"/>
        </w:rPr>
        <w:instrText xml:space="preserve">= 3 \* GB2</w:instrText>
      </w:r>
      <w:r>
        <w:rPr>
          <w:rFonts w:cs="Times New Roman"/>
          <w:sz w:val="28"/>
          <w:szCs w:val="28"/>
        </w:rPr>
        <w:instrText xml:space="preserve"> </w:instrText>
      </w:r>
      <w:r>
        <w:rPr>
          <w:rFonts w:cs="Times New Roman"/>
          <w:sz w:val="28"/>
          <w:szCs w:val="28"/>
        </w:rPr>
        <w:fldChar w:fldCharType="separate"/>
      </w:r>
      <w:r>
        <w:rPr>
          <w:rFonts w:hint="eastAsia" w:cs="Times New Roman"/>
          <w:sz w:val="28"/>
          <w:szCs w:val="28"/>
        </w:rPr>
        <w:t>⑶</w:t>
      </w:r>
      <w:r>
        <w:rPr>
          <w:rFonts w:cs="Times New Roman"/>
          <w:sz w:val="28"/>
          <w:szCs w:val="28"/>
        </w:rPr>
        <w:fldChar w:fldCharType="end"/>
      </w:r>
      <w:r>
        <w:rPr>
          <w:rFonts w:hint="eastAsia" w:cs="Times New Roman"/>
          <w:sz w:val="28"/>
          <w:szCs w:val="28"/>
        </w:rPr>
        <w:t>对于水文旅工程等项目。各级政府要营造良好的投资环境，积极探索政府和社会资本合作可能，拓宽资金来源，充分运用市场化、公司化融资模式，引进社会资本和联合体融资建设及运营；鼓励金融机构创新金融支持方式，试点“生态产品银行”，积极探索产业资金、信贷、绿色债券等多种融资模式，探索建立政府奖励补助制度，引导和促进多渠道资金投入。</w:t>
      </w:r>
    </w:p>
    <w:p w14:paraId="33C446E4">
      <w:pPr>
        <w:widowControl/>
        <w:adjustRightInd w:val="0"/>
        <w:ind w:firstLine="560" w:firstLineChars="200"/>
        <w:rPr>
          <w:rFonts w:cs="Times New Roman"/>
          <w:sz w:val="28"/>
          <w:szCs w:val="28"/>
        </w:rPr>
      </w:pPr>
      <w:r>
        <w:rPr>
          <w:rFonts w:hint="eastAsia" w:cs="Times New Roman"/>
          <w:sz w:val="28"/>
          <w:szCs w:val="28"/>
        </w:rPr>
        <w:t>规划项目普遍具有战略性、公益性和基础性特点，需针对各类项目特点进行细化研究，分类分项落实资金渠道。探索统筹整合使用财政、发改、财政、水利、生态环境、自然资源、住建、农业、林业等部门涉水生态治理资金，以水生态治理为引领、重点项目为平台，撬动金融资本和社会资金投入水生态治理，提高财政资金使用精准度和效益。盘活水利存量资产，按照中央要求在水利水务领域推动符合条件的项目开展不动产投资信托基金（REITs）试点，构建水利基础设施存量资产与新增水利基础设施投资的良性循环机制。挖掘水利行业水土资源潜力，在符合工程安全、生态环境等法规规定前提下，适度加大水土资源开发利用，争取水利资源收益全反哺水利建设。综合运用经济和法律手段，强化风险防控，完善配套制度，不断优化发展环境，全面构建政府规划引领、项目分类引导、资金精准整合、效益风险共担的资金可持续投入模式，为规划项目落地提供有力支撑。</w:t>
      </w:r>
      <w:bookmarkEnd w:id="202"/>
      <w:bookmarkEnd w:id="203"/>
    </w:p>
    <w:p w14:paraId="663AF216">
      <w:pPr>
        <w:rPr>
          <w:rFonts w:cs="Times New Roman"/>
        </w:rPr>
        <w:sectPr>
          <w:pgSz w:w="11906" w:h="16838"/>
          <w:pgMar w:top="1440" w:right="1800" w:bottom="1440" w:left="1800" w:header="851" w:footer="992" w:gutter="0"/>
          <w:cols w:space="425" w:num="1"/>
          <w:docGrid w:type="lines" w:linePitch="312" w:charSpace="0"/>
        </w:sectPr>
      </w:pPr>
    </w:p>
    <w:p w14:paraId="0BE05539">
      <w:pPr>
        <w:pStyle w:val="2"/>
        <w:widowControl/>
        <w:adjustRightInd w:val="0"/>
        <w:spacing w:before="0" w:after="0" w:line="360" w:lineRule="auto"/>
        <w:jc w:val="left"/>
        <w:rPr>
          <w:rFonts w:eastAsia="黑体" w:cs="Times New Roman"/>
          <w:b w:val="0"/>
          <w:bCs w:val="0"/>
          <w:sz w:val="32"/>
          <w:szCs w:val="48"/>
        </w:rPr>
      </w:pPr>
      <w:bookmarkStart w:id="213" w:name="_Toc198652124"/>
      <w:bookmarkStart w:id="214" w:name="_Toc134212734"/>
      <w:bookmarkStart w:id="215" w:name="_Toc127266612"/>
      <w:bookmarkStart w:id="216" w:name="_Toc105515771"/>
      <w:r>
        <w:rPr>
          <w:rFonts w:eastAsia="黑体" w:cs="Times New Roman"/>
          <w:b w:val="0"/>
          <w:bCs w:val="0"/>
          <w:sz w:val="32"/>
          <w:szCs w:val="48"/>
        </w:rPr>
        <w:t>10</w:t>
      </w:r>
      <w:r>
        <w:rPr>
          <w:rFonts w:hint="eastAsia" w:eastAsia="黑体" w:cs="Times New Roman"/>
          <w:b w:val="0"/>
          <w:bCs w:val="0"/>
          <w:sz w:val="32"/>
          <w:szCs w:val="48"/>
        </w:rPr>
        <w:t>环境影响评价</w:t>
      </w:r>
      <w:bookmarkEnd w:id="213"/>
    </w:p>
    <w:p w14:paraId="4372FCA4">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17" w:name="_Toc198652125"/>
      <w:r>
        <w:rPr>
          <w:rFonts w:ascii="Times New Roman" w:hAnsi="Times New Roman" w:eastAsia="黑体" w:cs="Times New Roman"/>
          <w:b w:val="0"/>
          <w:bCs w:val="0"/>
          <w:kern w:val="0"/>
          <w:sz w:val="28"/>
          <w:szCs w:val="28"/>
        </w:rPr>
        <w:t>10.</w:t>
      </w:r>
      <w:r>
        <w:rPr>
          <w:rFonts w:hint="eastAsia" w:ascii="Times New Roman" w:hAnsi="Times New Roman" w:eastAsia="黑体" w:cs="Times New Roman"/>
          <w:b w:val="0"/>
          <w:bCs w:val="0"/>
          <w:kern w:val="0"/>
          <w:sz w:val="28"/>
          <w:szCs w:val="28"/>
        </w:rPr>
        <w:t>1环境保护要求</w:t>
      </w:r>
      <w:bookmarkEnd w:id="217"/>
    </w:p>
    <w:p w14:paraId="30605D97">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1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⑴</w:t>
      </w:r>
      <w:r>
        <w:rPr>
          <w:rFonts w:cs="Times New Roman"/>
          <w:b/>
          <w:bCs/>
          <w:sz w:val="28"/>
          <w:szCs w:val="28"/>
        </w:rPr>
        <w:fldChar w:fldCharType="end"/>
      </w:r>
      <w:r>
        <w:rPr>
          <w:rFonts w:hint="eastAsia" w:cs="Times New Roman"/>
          <w:b/>
          <w:bCs/>
          <w:sz w:val="28"/>
          <w:szCs w:val="28"/>
        </w:rPr>
        <w:t>环境保护目标</w:t>
      </w:r>
    </w:p>
    <w:p w14:paraId="42824374">
      <w:pPr>
        <w:widowControl/>
        <w:adjustRightInd w:val="0"/>
        <w:ind w:firstLine="560" w:firstLineChars="200"/>
        <w:rPr>
          <w:rFonts w:cs="Times New Roman"/>
          <w:sz w:val="28"/>
          <w:szCs w:val="28"/>
        </w:rPr>
      </w:pPr>
      <w:r>
        <w:rPr>
          <w:rFonts w:hint="eastAsia" w:cs="Times New Roman"/>
          <w:sz w:val="28"/>
          <w:szCs w:val="28"/>
        </w:rPr>
        <w:t>严守生态保护红线、资源利用上限与环境质量底线。确保生态功能不降低，维护黄土高原生态系统多样性、稳定性、持续性，修复与改善主要河流水生态系统。全面节约和高效利用水资源，严格管控区域用水总量，保障主要河流生态流量，主要河流水环境质量明显提升，集中式饮用水水源地水质全面达标。</w:t>
      </w:r>
    </w:p>
    <w:p w14:paraId="1B9A5DE5">
      <w:pPr>
        <w:widowControl/>
        <w:adjustRightInd w:val="0"/>
        <w:ind w:firstLine="562" w:firstLineChars="200"/>
        <w:rPr>
          <w:rFonts w:cs="Times New Roman"/>
          <w:b/>
          <w:bCs/>
          <w:sz w:val="28"/>
          <w:szCs w:val="28"/>
        </w:rPr>
      </w:pPr>
      <w:r>
        <w:rPr>
          <w:rFonts w:cs="Times New Roman"/>
          <w:b/>
          <w:bCs/>
          <w:sz w:val="28"/>
          <w:szCs w:val="28"/>
        </w:rPr>
        <w:fldChar w:fldCharType="begin"/>
      </w:r>
      <w:r>
        <w:rPr>
          <w:rFonts w:cs="Times New Roman"/>
          <w:b/>
          <w:bCs/>
          <w:sz w:val="28"/>
          <w:szCs w:val="28"/>
        </w:rPr>
        <w:instrText xml:space="preserve"> </w:instrText>
      </w:r>
      <w:r>
        <w:rPr>
          <w:rFonts w:hint="eastAsia" w:cs="Times New Roman"/>
          <w:b/>
          <w:bCs/>
          <w:sz w:val="28"/>
          <w:szCs w:val="28"/>
        </w:rPr>
        <w:instrText xml:space="preserve">= 2 \* GB2</w:instrText>
      </w:r>
      <w:r>
        <w:rPr>
          <w:rFonts w:cs="Times New Roman"/>
          <w:b/>
          <w:bCs/>
          <w:sz w:val="28"/>
          <w:szCs w:val="28"/>
        </w:rPr>
        <w:instrText xml:space="preserve"> </w:instrText>
      </w:r>
      <w:r>
        <w:rPr>
          <w:rFonts w:cs="Times New Roman"/>
          <w:b/>
          <w:bCs/>
          <w:sz w:val="28"/>
          <w:szCs w:val="28"/>
        </w:rPr>
        <w:fldChar w:fldCharType="separate"/>
      </w:r>
      <w:r>
        <w:rPr>
          <w:rFonts w:hint="eastAsia" w:cs="Times New Roman"/>
          <w:b/>
          <w:bCs/>
          <w:sz w:val="28"/>
          <w:szCs w:val="28"/>
        </w:rPr>
        <w:t>⑵</w:t>
      </w:r>
      <w:r>
        <w:rPr>
          <w:rFonts w:cs="Times New Roman"/>
          <w:b/>
          <w:bCs/>
          <w:sz w:val="28"/>
          <w:szCs w:val="28"/>
        </w:rPr>
        <w:fldChar w:fldCharType="end"/>
      </w:r>
      <w:r>
        <w:rPr>
          <w:rFonts w:hint="eastAsia" w:cs="Times New Roman"/>
          <w:b/>
          <w:bCs/>
          <w:sz w:val="28"/>
          <w:szCs w:val="28"/>
        </w:rPr>
        <w:t>环境制约因素识别</w:t>
      </w:r>
    </w:p>
    <w:p w14:paraId="18C4F16D">
      <w:pPr>
        <w:widowControl/>
        <w:adjustRightInd w:val="0"/>
        <w:ind w:firstLine="560" w:firstLineChars="200"/>
      </w:pPr>
      <w:r>
        <w:rPr>
          <w:rFonts w:hint="eastAsia" w:cs="Times New Roman"/>
          <w:sz w:val="28"/>
          <w:szCs w:val="28"/>
        </w:rPr>
        <w:t>规划水资源配置工程中的新建水库坝址及库区淹没范围不涉及自然保护区等环境敏感区。规划部分河道堤防建设涉及湿地自然保护区、生态保护红线等环境敏感区。项目实施阶段需结合包头市自然保护地体系调整与生态保护红线管控要求，进一步复核环境敏感制约因素，加强工程方案论证与优化比选。</w:t>
      </w:r>
    </w:p>
    <w:p w14:paraId="5ACD9FFB">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18" w:name="_Toc198652126"/>
      <w:r>
        <w:rPr>
          <w:rFonts w:hint="eastAsia" w:ascii="Times New Roman" w:hAnsi="Times New Roman" w:eastAsia="黑体" w:cs="Times New Roman"/>
          <w:b w:val="0"/>
          <w:bCs w:val="0"/>
          <w:kern w:val="0"/>
          <w:sz w:val="28"/>
          <w:szCs w:val="28"/>
        </w:rPr>
        <w:t>10.2</w:t>
      </w:r>
      <w:r>
        <w:rPr>
          <w:rFonts w:ascii="Times New Roman" w:hAnsi="Times New Roman" w:eastAsia="黑体" w:cs="Times New Roman"/>
          <w:b w:val="0"/>
          <w:bCs w:val="0"/>
          <w:kern w:val="0"/>
          <w:sz w:val="28"/>
          <w:szCs w:val="28"/>
        </w:rPr>
        <w:t>规划</w:t>
      </w:r>
      <w:r>
        <w:rPr>
          <w:rFonts w:hint="eastAsia" w:ascii="Times New Roman" w:hAnsi="Times New Roman" w:eastAsia="黑体" w:cs="Times New Roman"/>
          <w:b w:val="0"/>
          <w:bCs w:val="0"/>
          <w:kern w:val="0"/>
          <w:sz w:val="28"/>
          <w:szCs w:val="28"/>
        </w:rPr>
        <w:t>符合性</w:t>
      </w:r>
      <w:r>
        <w:rPr>
          <w:rFonts w:ascii="Times New Roman" w:hAnsi="Times New Roman" w:eastAsia="黑体" w:cs="Times New Roman"/>
          <w:b w:val="0"/>
          <w:bCs w:val="0"/>
          <w:kern w:val="0"/>
          <w:sz w:val="28"/>
          <w:szCs w:val="28"/>
        </w:rPr>
        <w:t>分析</w:t>
      </w:r>
      <w:bookmarkEnd w:id="218"/>
    </w:p>
    <w:p w14:paraId="1D7F4723">
      <w:pPr>
        <w:adjustRightInd w:val="0"/>
        <w:ind w:firstLine="562" w:firstLineChars="200"/>
        <w:rPr>
          <w:rFonts w:cs="Times New Roman"/>
          <w:b/>
          <w:bCs/>
          <w:kern w:val="0"/>
          <w:sz w:val="28"/>
          <w:szCs w:val="28"/>
        </w:rPr>
      </w:pPr>
      <w:r>
        <w:rPr>
          <w:rFonts w:cs="Times New Roman"/>
          <w:b/>
          <w:bCs/>
          <w:kern w:val="0"/>
          <w:sz w:val="28"/>
          <w:szCs w:val="28"/>
        </w:rPr>
        <w:fldChar w:fldCharType="begin"/>
      </w:r>
      <w:r>
        <w:rPr>
          <w:rFonts w:cs="Times New Roman"/>
          <w:b/>
          <w:bCs/>
          <w:kern w:val="0"/>
          <w:sz w:val="28"/>
          <w:szCs w:val="28"/>
        </w:rPr>
        <w:instrText xml:space="preserve"> </w:instrText>
      </w:r>
      <w:r>
        <w:rPr>
          <w:rFonts w:hint="eastAsia" w:cs="Times New Roman"/>
          <w:b/>
          <w:bCs/>
          <w:kern w:val="0"/>
          <w:sz w:val="28"/>
          <w:szCs w:val="28"/>
        </w:rPr>
        <w:instrText xml:space="preserve">= 1 \* GB2</w:instrText>
      </w:r>
      <w:r>
        <w:rPr>
          <w:rFonts w:cs="Times New Roman"/>
          <w:b/>
          <w:bCs/>
          <w:kern w:val="0"/>
          <w:sz w:val="28"/>
          <w:szCs w:val="28"/>
        </w:rPr>
        <w:instrText xml:space="preserve"> </w:instrText>
      </w:r>
      <w:r>
        <w:rPr>
          <w:rFonts w:cs="Times New Roman"/>
          <w:b/>
          <w:bCs/>
          <w:kern w:val="0"/>
          <w:sz w:val="28"/>
          <w:szCs w:val="28"/>
        </w:rPr>
        <w:fldChar w:fldCharType="separate"/>
      </w:r>
      <w:r>
        <w:rPr>
          <w:rFonts w:hint="eastAsia" w:cs="Times New Roman"/>
          <w:b/>
          <w:bCs/>
          <w:kern w:val="0"/>
          <w:sz w:val="28"/>
          <w:szCs w:val="28"/>
        </w:rPr>
        <w:t>⑴</w:t>
      </w:r>
      <w:r>
        <w:rPr>
          <w:rFonts w:cs="Times New Roman"/>
          <w:b/>
          <w:bCs/>
          <w:kern w:val="0"/>
          <w:sz w:val="28"/>
          <w:szCs w:val="28"/>
        </w:rPr>
        <w:fldChar w:fldCharType="end"/>
      </w:r>
      <w:r>
        <w:rPr>
          <w:rFonts w:cs="Times New Roman"/>
          <w:b/>
          <w:bCs/>
          <w:kern w:val="0"/>
          <w:sz w:val="28"/>
          <w:szCs w:val="28"/>
        </w:rPr>
        <w:t>与法律法规的符合性分析</w:t>
      </w:r>
    </w:p>
    <w:p w14:paraId="36D8D338">
      <w:pPr>
        <w:adjustRightInd w:val="0"/>
        <w:ind w:firstLine="560" w:firstLineChars="200"/>
        <w:rPr>
          <w:rFonts w:cs="Times New Roman"/>
          <w:kern w:val="0"/>
          <w:sz w:val="28"/>
          <w:szCs w:val="28"/>
        </w:rPr>
      </w:pPr>
      <w:r>
        <w:rPr>
          <w:rFonts w:cs="Times New Roman"/>
          <w:kern w:val="0"/>
          <w:sz w:val="28"/>
          <w:szCs w:val="28"/>
        </w:rPr>
        <w:t>与《中华人民共和国水法》的协调性分析《中华人民共和国水法》第二章第十四条规定，“开发、利用、节约、保护水资源和防治水害，应当按照流域、区域统一制定规划”。第二十一条规定</w:t>
      </w:r>
      <w:r>
        <w:rPr>
          <w:rFonts w:hint="eastAsia" w:cs="Times New Roman"/>
          <w:kern w:val="0"/>
          <w:sz w:val="28"/>
          <w:szCs w:val="28"/>
        </w:rPr>
        <w:t>：</w:t>
      </w:r>
      <w:r>
        <w:rPr>
          <w:rFonts w:cs="Times New Roman"/>
          <w:kern w:val="0"/>
          <w:sz w:val="28"/>
          <w:szCs w:val="28"/>
        </w:rPr>
        <w:t>“开发、利用水资源，应当首先满足城乡居民生活用水，并兼顾农业、工业、生态环境用水以及航运等需要”。本规划梳理了环境现状和主要环境问题，结合九原区特点，提出了水资源配置与供水工程、防洪、水环境与水生态保护等专项体系。规划的实施不仅能从量上满足城乡居民生活用水、农业用水、生态环境用水的量，还能保证用水安全，因此规划和《中华人民共和国水法》是相符的。</w:t>
      </w:r>
    </w:p>
    <w:p w14:paraId="372BEC74">
      <w:pPr>
        <w:adjustRightInd w:val="0"/>
        <w:ind w:firstLine="562" w:firstLineChars="200"/>
        <w:rPr>
          <w:rFonts w:cs="Times New Roman"/>
          <w:b/>
          <w:bCs/>
          <w:kern w:val="0"/>
          <w:sz w:val="28"/>
          <w:szCs w:val="28"/>
        </w:rPr>
      </w:pPr>
      <w:r>
        <w:rPr>
          <w:rFonts w:cs="Times New Roman"/>
          <w:b/>
          <w:bCs/>
          <w:kern w:val="0"/>
          <w:sz w:val="28"/>
          <w:szCs w:val="28"/>
        </w:rPr>
        <w:fldChar w:fldCharType="begin"/>
      </w:r>
      <w:r>
        <w:rPr>
          <w:rFonts w:cs="Times New Roman"/>
          <w:b/>
          <w:bCs/>
          <w:kern w:val="0"/>
          <w:sz w:val="28"/>
          <w:szCs w:val="28"/>
        </w:rPr>
        <w:instrText xml:space="preserve"> </w:instrText>
      </w:r>
      <w:r>
        <w:rPr>
          <w:rFonts w:hint="eastAsia" w:cs="Times New Roman"/>
          <w:b/>
          <w:bCs/>
          <w:kern w:val="0"/>
          <w:sz w:val="28"/>
          <w:szCs w:val="28"/>
        </w:rPr>
        <w:instrText xml:space="preserve">= 2 \* GB2</w:instrText>
      </w:r>
      <w:r>
        <w:rPr>
          <w:rFonts w:cs="Times New Roman"/>
          <w:b/>
          <w:bCs/>
          <w:kern w:val="0"/>
          <w:sz w:val="28"/>
          <w:szCs w:val="28"/>
        </w:rPr>
        <w:instrText xml:space="preserve"> </w:instrText>
      </w:r>
      <w:r>
        <w:rPr>
          <w:rFonts w:cs="Times New Roman"/>
          <w:b/>
          <w:bCs/>
          <w:kern w:val="0"/>
          <w:sz w:val="28"/>
          <w:szCs w:val="28"/>
        </w:rPr>
        <w:fldChar w:fldCharType="separate"/>
      </w:r>
      <w:r>
        <w:rPr>
          <w:rFonts w:hint="eastAsia" w:cs="Times New Roman"/>
          <w:b/>
          <w:bCs/>
          <w:kern w:val="0"/>
          <w:sz w:val="28"/>
          <w:szCs w:val="28"/>
        </w:rPr>
        <w:t>⑵</w:t>
      </w:r>
      <w:r>
        <w:rPr>
          <w:rFonts w:cs="Times New Roman"/>
          <w:b/>
          <w:bCs/>
          <w:kern w:val="0"/>
          <w:sz w:val="28"/>
          <w:szCs w:val="28"/>
        </w:rPr>
        <w:fldChar w:fldCharType="end"/>
      </w:r>
      <w:r>
        <w:rPr>
          <w:rFonts w:cs="Times New Roman"/>
          <w:b/>
          <w:bCs/>
          <w:kern w:val="0"/>
          <w:sz w:val="28"/>
          <w:szCs w:val="28"/>
        </w:rPr>
        <w:t>与《中华人民共和国防洪法》协调性分析</w:t>
      </w:r>
    </w:p>
    <w:p w14:paraId="2B1AE134">
      <w:pPr>
        <w:adjustRightInd w:val="0"/>
        <w:ind w:firstLine="560" w:firstLineChars="200"/>
        <w:rPr>
          <w:rFonts w:cs="Times New Roman"/>
          <w:kern w:val="0"/>
          <w:sz w:val="28"/>
          <w:szCs w:val="28"/>
        </w:rPr>
      </w:pPr>
      <w:r>
        <w:rPr>
          <w:rFonts w:cs="Times New Roman"/>
          <w:kern w:val="0"/>
          <w:sz w:val="28"/>
          <w:szCs w:val="28"/>
        </w:rPr>
        <w:t>《中华人民共和国防洪法》第一章第四条规定“开发利用和保护水资源，应当服从防洪总体安排，实行兴利与除害相结合的原则”。防洪专项规划实施后，将显著提高九原区抗御洪涝灾害能力，改善区域经济社会发展条件，因此规划和《中华人民共和国防洪法》是相符的。</w:t>
      </w:r>
    </w:p>
    <w:p w14:paraId="413E512C">
      <w:pPr>
        <w:adjustRightInd w:val="0"/>
        <w:ind w:firstLine="562" w:firstLineChars="200"/>
        <w:rPr>
          <w:rFonts w:cs="Times New Roman"/>
          <w:b/>
          <w:bCs/>
          <w:kern w:val="0"/>
          <w:sz w:val="28"/>
          <w:szCs w:val="28"/>
        </w:rPr>
      </w:pPr>
      <w:r>
        <w:rPr>
          <w:rFonts w:cs="Times New Roman"/>
          <w:b/>
          <w:bCs/>
          <w:kern w:val="0"/>
          <w:sz w:val="28"/>
          <w:szCs w:val="28"/>
        </w:rPr>
        <w:fldChar w:fldCharType="begin"/>
      </w:r>
      <w:r>
        <w:rPr>
          <w:rFonts w:cs="Times New Roman"/>
          <w:b/>
          <w:bCs/>
          <w:kern w:val="0"/>
          <w:sz w:val="28"/>
          <w:szCs w:val="28"/>
        </w:rPr>
        <w:instrText xml:space="preserve"> </w:instrText>
      </w:r>
      <w:r>
        <w:rPr>
          <w:rFonts w:hint="eastAsia" w:cs="Times New Roman"/>
          <w:b/>
          <w:bCs/>
          <w:kern w:val="0"/>
          <w:sz w:val="28"/>
          <w:szCs w:val="28"/>
        </w:rPr>
        <w:instrText xml:space="preserve">= 3 \* GB2</w:instrText>
      </w:r>
      <w:r>
        <w:rPr>
          <w:rFonts w:cs="Times New Roman"/>
          <w:b/>
          <w:bCs/>
          <w:kern w:val="0"/>
          <w:sz w:val="28"/>
          <w:szCs w:val="28"/>
        </w:rPr>
        <w:instrText xml:space="preserve"> </w:instrText>
      </w:r>
      <w:r>
        <w:rPr>
          <w:rFonts w:cs="Times New Roman"/>
          <w:b/>
          <w:bCs/>
          <w:kern w:val="0"/>
          <w:sz w:val="28"/>
          <w:szCs w:val="28"/>
        </w:rPr>
        <w:fldChar w:fldCharType="separate"/>
      </w:r>
      <w:r>
        <w:rPr>
          <w:rFonts w:hint="eastAsia" w:cs="Times New Roman"/>
          <w:b/>
          <w:bCs/>
          <w:kern w:val="0"/>
          <w:sz w:val="28"/>
          <w:szCs w:val="28"/>
        </w:rPr>
        <w:t>⑶</w:t>
      </w:r>
      <w:r>
        <w:rPr>
          <w:rFonts w:cs="Times New Roman"/>
          <w:b/>
          <w:bCs/>
          <w:kern w:val="0"/>
          <w:sz w:val="28"/>
          <w:szCs w:val="28"/>
        </w:rPr>
        <w:fldChar w:fldCharType="end"/>
      </w:r>
      <w:r>
        <w:rPr>
          <w:rFonts w:cs="Times New Roman"/>
          <w:b/>
          <w:bCs/>
          <w:kern w:val="0"/>
          <w:sz w:val="28"/>
          <w:szCs w:val="28"/>
        </w:rPr>
        <w:t>与相关规划的符合性分析</w:t>
      </w:r>
    </w:p>
    <w:p w14:paraId="0EBCD131">
      <w:pPr>
        <w:adjustRightInd w:val="0"/>
        <w:ind w:firstLine="560" w:firstLineChars="200"/>
        <w:rPr>
          <w:rFonts w:cs="Times New Roman"/>
          <w:kern w:val="0"/>
          <w:sz w:val="28"/>
          <w:szCs w:val="28"/>
        </w:rPr>
      </w:pPr>
      <w:r>
        <w:rPr>
          <w:rFonts w:cs="Times New Roman"/>
          <w:kern w:val="0"/>
          <w:sz w:val="28"/>
          <w:szCs w:val="28"/>
        </w:rPr>
        <w:t>与</w:t>
      </w:r>
      <w:r>
        <w:rPr>
          <w:rFonts w:hint="eastAsia" w:cs="Times New Roman"/>
          <w:kern w:val="0"/>
          <w:sz w:val="28"/>
          <w:szCs w:val="28"/>
        </w:rPr>
        <w:t>《包头市国民经济和社会发展第十四个五年规划和二〇三五年远景目标纲要》和《包头市国土空间总体规划（2021-2035年）》等相关政策与规划</w:t>
      </w:r>
      <w:r>
        <w:rPr>
          <w:rFonts w:cs="Times New Roman"/>
          <w:kern w:val="0"/>
          <w:sz w:val="28"/>
          <w:szCs w:val="28"/>
        </w:rPr>
        <w:t>的符合性分析</w:t>
      </w:r>
    </w:p>
    <w:p w14:paraId="154D7905">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规划在“多规合一”的引领下，坚持生态优先、绿色发展，以实现水资源空间均衡、强化河湖生态保护为前提，对九原区水资源开发、利用、节约和保护等进行总体谋划，符合国家生态文明建设战略和“节水优先、空间均衡、系统治理、两手发力”治水思路。规划明确了水生态保护红线和水资源利用上限，突出水生态空间管控，提出差异化环境准入条件和要求，与最严格水资源管理制度、水污染防治行动计划和水生态文明建设的要求基本符合。为减少对生态保护红线的影响，规划对水资源配置等工程布局进行优化调整，重点输水工程基本以埋管、隧洞方式通过自然保护区、森林公园和地质公园等环境敏感区，与生态保护红线管控要求总体不矛盾。</w:t>
      </w:r>
    </w:p>
    <w:p w14:paraId="335D198D">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19" w:name="_Toc198652127"/>
      <w:r>
        <w:rPr>
          <w:rFonts w:ascii="Times New Roman" w:hAnsi="Times New Roman" w:eastAsia="黑体" w:cs="Times New Roman"/>
          <w:b w:val="0"/>
          <w:bCs w:val="0"/>
          <w:kern w:val="0"/>
          <w:sz w:val="28"/>
          <w:szCs w:val="28"/>
        </w:rPr>
        <w:t>10.</w:t>
      </w:r>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主要环境影响</w:t>
      </w:r>
      <w:r>
        <w:rPr>
          <w:rFonts w:hint="eastAsia" w:ascii="Times New Roman" w:hAnsi="Times New Roman" w:eastAsia="黑体" w:cs="Times New Roman"/>
          <w:b w:val="0"/>
          <w:bCs w:val="0"/>
          <w:kern w:val="0"/>
          <w:sz w:val="28"/>
          <w:szCs w:val="28"/>
        </w:rPr>
        <w:t>预测与评价</w:t>
      </w:r>
      <w:bookmarkEnd w:id="219"/>
    </w:p>
    <w:p w14:paraId="15AA03ED">
      <w:pPr>
        <w:pStyle w:val="4"/>
        <w:widowControl/>
        <w:adjustRightInd w:val="0"/>
        <w:spacing w:before="0" w:after="0" w:line="360" w:lineRule="auto"/>
        <w:jc w:val="left"/>
        <w:rPr>
          <w:rFonts w:eastAsia="黑体" w:cs="Times New Roman"/>
          <w:b w:val="0"/>
          <w:bCs w:val="0"/>
          <w:kern w:val="0"/>
          <w:sz w:val="28"/>
          <w:szCs w:val="28"/>
        </w:rPr>
      </w:pPr>
      <w:bookmarkStart w:id="220" w:name="_Toc198652128"/>
      <w:r>
        <w:rPr>
          <w:rFonts w:eastAsia="黑体" w:cs="Times New Roman"/>
          <w:b w:val="0"/>
          <w:bCs w:val="0"/>
          <w:kern w:val="0"/>
          <w:sz w:val="28"/>
          <w:szCs w:val="28"/>
        </w:rPr>
        <w:t>10.</w:t>
      </w:r>
      <w:r>
        <w:rPr>
          <w:rFonts w:hint="eastAsia" w:eastAsia="黑体" w:cs="Times New Roman"/>
          <w:b w:val="0"/>
          <w:bCs w:val="0"/>
          <w:kern w:val="0"/>
          <w:sz w:val="28"/>
          <w:szCs w:val="28"/>
        </w:rPr>
        <w:t>3</w:t>
      </w:r>
      <w:r>
        <w:rPr>
          <w:rFonts w:eastAsia="黑体" w:cs="Times New Roman"/>
          <w:b w:val="0"/>
          <w:bCs w:val="0"/>
          <w:kern w:val="0"/>
          <w:sz w:val="28"/>
          <w:szCs w:val="28"/>
        </w:rPr>
        <w:t>.1水文水资源影响分析</w:t>
      </w:r>
      <w:bookmarkEnd w:id="220"/>
    </w:p>
    <w:p w14:paraId="36655C70">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本规划旨在实现水资源的优化配置，全面提升九原区的供水保障能力。规划聚焦于加速区域引调水工程及其配套设施的建设，强化水源工程的建设步伐，推动非常规水资源的开发利用工程，加快城乡供水保障体系的建设与完善，以及灌区现代化与改造工程的实施。这一系列工程措施将有力促进九原区构建高质量的水资源配置工程体系。同时，规划强调全面深化节水工作，加大再生水在河湖生态补水、城镇绿化等方面的回收利用，从而有效增强重要河湖生态水量的保障能力。</w:t>
      </w:r>
    </w:p>
    <w:p w14:paraId="6997F726">
      <w:pPr>
        <w:pStyle w:val="4"/>
        <w:widowControl/>
        <w:adjustRightInd w:val="0"/>
        <w:spacing w:before="0" w:after="0" w:line="360" w:lineRule="auto"/>
        <w:jc w:val="left"/>
        <w:rPr>
          <w:rFonts w:eastAsia="黑体" w:cs="Times New Roman"/>
          <w:b w:val="0"/>
          <w:bCs w:val="0"/>
          <w:kern w:val="0"/>
          <w:sz w:val="28"/>
          <w:szCs w:val="28"/>
        </w:rPr>
      </w:pPr>
      <w:bookmarkStart w:id="221" w:name="_Toc198652129"/>
      <w:r>
        <w:rPr>
          <w:rFonts w:eastAsia="黑体" w:cs="Times New Roman"/>
          <w:b w:val="0"/>
          <w:bCs w:val="0"/>
          <w:kern w:val="0"/>
          <w:sz w:val="28"/>
          <w:szCs w:val="28"/>
        </w:rPr>
        <w:t>10.</w:t>
      </w:r>
      <w:r>
        <w:rPr>
          <w:rFonts w:hint="eastAsia" w:eastAsia="黑体" w:cs="Times New Roman"/>
          <w:b w:val="0"/>
          <w:bCs w:val="0"/>
          <w:kern w:val="0"/>
          <w:sz w:val="28"/>
          <w:szCs w:val="28"/>
        </w:rPr>
        <w:t>3</w:t>
      </w:r>
      <w:r>
        <w:rPr>
          <w:rFonts w:eastAsia="黑体" w:cs="Times New Roman"/>
          <w:b w:val="0"/>
          <w:bCs w:val="0"/>
          <w:kern w:val="0"/>
          <w:sz w:val="28"/>
          <w:szCs w:val="28"/>
        </w:rPr>
        <w:t>.2水环境影响分析</w:t>
      </w:r>
      <w:bookmarkEnd w:id="221"/>
    </w:p>
    <w:p w14:paraId="05F14B11">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规划提出加强污水处理与再生水利用设施建设，修建尾水净化湿地，严控控制入河湖排污总量，减少城镇新增废污水及污染物排放对水环境的不利影响。通过实施河湖水系连通及生态补水，开展生态蓄水湿地建设及景观提升等，可明显改善主要河流水质状况。灌区工程建设可能带来农业退水污染风险，通过实施农业节水灌溉、加强农业面源污染治理，可减缓灌溉回归水对区域水环境的影响。经分析，规划坚持污染治理和生态扩容双发力，协同推进河湖水环境综合治理，主要河流及控制断面基本满足水质目标。</w:t>
      </w:r>
    </w:p>
    <w:p w14:paraId="14D991FC">
      <w:pPr>
        <w:pStyle w:val="4"/>
        <w:widowControl/>
        <w:adjustRightInd w:val="0"/>
        <w:spacing w:before="0" w:after="0" w:line="360" w:lineRule="auto"/>
        <w:jc w:val="left"/>
        <w:rPr>
          <w:rFonts w:eastAsia="黑体" w:cs="Times New Roman"/>
          <w:b w:val="0"/>
          <w:bCs w:val="0"/>
          <w:kern w:val="0"/>
          <w:sz w:val="28"/>
          <w:szCs w:val="28"/>
        </w:rPr>
      </w:pPr>
      <w:bookmarkStart w:id="222" w:name="_Toc198652130"/>
      <w:r>
        <w:rPr>
          <w:rFonts w:eastAsia="黑体" w:cs="Times New Roman"/>
          <w:b w:val="0"/>
          <w:bCs w:val="0"/>
          <w:kern w:val="0"/>
          <w:sz w:val="28"/>
          <w:szCs w:val="28"/>
        </w:rPr>
        <w:t>10.</w:t>
      </w:r>
      <w:r>
        <w:rPr>
          <w:rFonts w:hint="eastAsia" w:eastAsia="黑体" w:cs="Times New Roman"/>
          <w:b w:val="0"/>
          <w:bCs w:val="0"/>
          <w:kern w:val="0"/>
          <w:sz w:val="28"/>
          <w:szCs w:val="28"/>
        </w:rPr>
        <w:t>3</w:t>
      </w:r>
      <w:r>
        <w:rPr>
          <w:rFonts w:eastAsia="黑体" w:cs="Times New Roman"/>
          <w:b w:val="0"/>
          <w:bCs w:val="0"/>
          <w:kern w:val="0"/>
          <w:sz w:val="28"/>
          <w:szCs w:val="28"/>
        </w:rPr>
        <w:t>.3陆生生态环境影响分析</w:t>
      </w:r>
      <w:bookmarkEnd w:id="222"/>
    </w:p>
    <w:p w14:paraId="79C23CF8">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规划防洪工程实施提高了区域防洪标准，提高了水资源保障水平，减少了洪旱灾害，也减轻了因洪旱灾害发生的珍稀动植物死亡、生物多样性减少、生物栖息地破坏等生态环境灾害。规划的各项工程实施过程中，工程永久占地和临时占地会破坏周边地表植被，减少植物面积、惊扰动物栖息环境，但不会对区域的动植物类型和种类发生大的改变。规划工程实施过程中，需严格施工管理，尽量少占用土地、少占压植被，减少水土流失;重视珍惜动植物保护，按照避让、减缓、补救的顺序采取保护措施。</w:t>
      </w:r>
    </w:p>
    <w:p w14:paraId="2BAA00CA">
      <w:pPr>
        <w:pStyle w:val="4"/>
        <w:widowControl/>
        <w:adjustRightInd w:val="0"/>
        <w:spacing w:before="0" w:after="0" w:line="360" w:lineRule="auto"/>
        <w:jc w:val="left"/>
        <w:rPr>
          <w:rFonts w:eastAsia="黑体" w:cs="Times New Roman"/>
          <w:b w:val="0"/>
          <w:bCs w:val="0"/>
          <w:kern w:val="0"/>
          <w:sz w:val="28"/>
          <w:szCs w:val="28"/>
        </w:rPr>
      </w:pPr>
      <w:bookmarkStart w:id="223" w:name="_Toc198652131"/>
      <w:r>
        <w:rPr>
          <w:rFonts w:eastAsia="黑体" w:cs="Times New Roman"/>
          <w:b w:val="0"/>
          <w:bCs w:val="0"/>
          <w:kern w:val="0"/>
          <w:sz w:val="28"/>
          <w:szCs w:val="28"/>
        </w:rPr>
        <w:t>10.</w:t>
      </w:r>
      <w:r>
        <w:rPr>
          <w:rFonts w:hint="eastAsia" w:eastAsia="黑体" w:cs="Times New Roman"/>
          <w:b w:val="0"/>
          <w:bCs w:val="0"/>
          <w:kern w:val="0"/>
          <w:sz w:val="28"/>
          <w:szCs w:val="28"/>
        </w:rPr>
        <w:t>3</w:t>
      </w:r>
      <w:r>
        <w:rPr>
          <w:rFonts w:eastAsia="黑体" w:cs="Times New Roman"/>
          <w:b w:val="0"/>
          <w:bCs w:val="0"/>
          <w:kern w:val="0"/>
          <w:sz w:val="28"/>
          <w:szCs w:val="28"/>
        </w:rPr>
        <w:t>.4水生生态环境影响分析</w:t>
      </w:r>
      <w:bookmarkEnd w:id="223"/>
    </w:p>
    <w:p w14:paraId="33ED0140">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九原区部分河段城镇建设、农业开发等违规占用河漫滩和岸线，导致河湖湿地萎缩退化，影响水生动植物生长繁殖，改变了河流生物种群结构和数量。规划重点对全区主要河流段推进生态绿道建设，加强河湖水环境治理，开展生态调度管理，修复河道湿地生态，对河流水系休养生息、改善河湖生态功能具有重要作用。</w:t>
      </w:r>
    </w:p>
    <w:p w14:paraId="2655D31C">
      <w:pPr>
        <w:pStyle w:val="4"/>
        <w:widowControl/>
        <w:adjustRightInd w:val="0"/>
        <w:spacing w:before="0" w:after="0" w:line="360" w:lineRule="auto"/>
        <w:jc w:val="left"/>
        <w:rPr>
          <w:rFonts w:eastAsia="黑体" w:cs="Times New Roman"/>
          <w:b w:val="0"/>
          <w:bCs w:val="0"/>
          <w:kern w:val="0"/>
          <w:sz w:val="28"/>
          <w:szCs w:val="28"/>
        </w:rPr>
      </w:pPr>
      <w:bookmarkStart w:id="224" w:name="_Toc198652132"/>
      <w:r>
        <w:rPr>
          <w:rFonts w:eastAsia="黑体" w:cs="Times New Roman"/>
          <w:b w:val="0"/>
          <w:bCs w:val="0"/>
          <w:kern w:val="0"/>
          <w:sz w:val="28"/>
          <w:szCs w:val="28"/>
        </w:rPr>
        <w:t>10.</w:t>
      </w:r>
      <w:r>
        <w:rPr>
          <w:rFonts w:hint="eastAsia" w:eastAsia="黑体" w:cs="Times New Roman"/>
          <w:b w:val="0"/>
          <w:bCs w:val="0"/>
          <w:kern w:val="0"/>
          <w:sz w:val="28"/>
          <w:szCs w:val="28"/>
        </w:rPr>
        <w:t>3</w:t>
      </w:r>
      <w:r>
        <w:rPr>
          <w:rFonts w:eastAsia="黑体" w:cs="Times New Roman"/>
          <w:b w:val="0"/>
          <w:bCs w:val="0"/>
          <w:kern w:val="0"/>
          <w:sz w:val="28"/>
          <w:szCs w:val="28"/>
        </w:rPr>
        <w:t>.5对环境敏感区的影响分析</w:t>
      </w:r>
      <w:bookmarkEnd w:id="224"/>
    </w:p>
    <w:p w14:paraId="4590B15D">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经识别分析，部分规划工程可能涉及自然保护区、饮用水水源保护区、湿地公园等环境敏感区，规划实施可能影响环境敏感区的生态环境。建议在下阶段进一步核实规划工程与生态环境敏感目标的相对位置关系，同时针对规划的环境影响及环境敏感问题开展进一步研究，并提出有效地避让和减缓措施，对不利环境影响予以减免、减缓或补偿。</w:t>
      </w:r>
    </w:p>
    <w:p w14:paraId="5AF10E9B">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25" w:name="_Toc198652133"/>
      <w:r>
        <w:rPr>
          <w:rFonts w:ascii="Times New Roman" w:hAnsi="Times New Roman" w:eastAsia="黑体" w:cs="Times New Roman"/>
          <w:b w:val="0"/>
          <w:bCs w:val="0"/>
          <w:kern w:val="0"/>
          <w:sz w:val="28"/>
          <w:szCs w:val="28"/>
        </w:rPr>
        <w:t>10.</w:t>
      </w:r>
      <w:r>
        <w:rPr>
          <w:rFonts w:hint="eastAsia" w:ascii="Times New Roman" w:hAnsi="Times New Roman" w:eastAsia="黑体" w:cs="Times New Roman"/>
          <w:b w:val="0"/>
          <w:bCs w:val="0"/>
          <w:kern w:val="0"/>
          <w:sz w:val="28"/>
          <w:szCs w:val="28"/>
        </w:rPr>
        <w:t>4</w:t>
      </w:r>
      <w:r>
        <w:rPr>
          <w:rFonts w:ascii="Times New Roman" w:hAnsi="Times New Roman" w:eastAsia="黑体" w:cs="Times New Roman"/>
          <w:b w:val="0"/>
          <w:bCs w:val="0"/>
          <w:kern w:val="0"/>
          <w:sz w:val="28"/>
          <w:szCs w:val="28"/>
        </w:rPr>
        <w:t>规划的合理性及优化调整建议</w:t>
      </w:r>
      <w:bookmarkEnd w:id="225"/>
    </w:p>
    <w:p w14:paraId="6CCA37A2">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本规划包括节水、水资源配置、防洪、水生态水环境、数字孪生等内容。从长期来看，规划对水环境、生态环境均产生积极影响，不利影响主要集中在规划实施阶段，可通过采取对应措施进行应对，将不利影响降至最低。</w:t>
      </w:r>
    </w:p>
    <w:p w14:paraId="24C52E33">
      <w:pPr>
        <w:pStyle w:val="4"/>
        <w:widowControl/>
        <w:adjustRightInd w:val="0"/>
        <w:spacing w:before="0" w:after="0" w:line="360" w:lineRule="auto"/>
        <w:jc w:val="left"/>
        <w:rPr>
          <w:rFonts w:eastAsia="黑体" w:cs="Times New Roman"/>
          <w:b w:val="0"/>
          <w:bCs w:val="0"/>
          <w:kern w:val="0"/>
          <w:sz w:val="28"/>
          <w:szCs w:val="28"/>
        </w:rPr>
      </w:pPr>
      <w:bookmarkStart w:id="226" w:name="_Toc198652134"/>
      <w:r>
        <w:rPr>
          <w:rFonts w:eastAsia="黑体" w:cs="Times New Roman"/>
          <w:b w:val="0"/>
          <w:bCs w:val="0"/>
          <w:kern w:val="0"/>
          <w:sz w:val="28"/>
          <w:szCs w:val="28"/>
        </w:rPr>
        <w:t>10.</w:t>
      </w:r>
      <w:r>
        <w:rPr>
          <w:rFonts w:hint="eastAsia" w:eastAsia="黑体" w:cs="Times New Roman"/>
          <w:b w:val="0"/>
          <w:bCs w:val="0"/>
          <w:kern w:val="0"/>
          <w:sz w:val="28"/>
          <w:szCs w:val="28"/>
        </w:rPr>
        <w:t>4</w:t>
      </w:r>
      <w:r>
        <w:rPr>
          <w:rFonts w:eastAsia="黑体" w:cs="Times New Roman"/>
          <w:b w:val="0"/>
          <w:bCs w:val="0"/>
          <w:kern w:val="0"/>
          <w:sz w:val="28"/>
          <w:szCs w:val="28"/>
        </w:rPr>
        <w:t>.1规划布局的环境合理性分析</w:t>
      </w:r>
      <w:bookmarkEnd w:id="226"/>
    </w:p>
    <w:p w14:paraId="3B8A272E">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本规划从九原区主体功能定位和国土空间布局要求出发，包含防洪减灾、水资源配置、水生态治理、水环境治理、数字孪生水网、水网管理等工程。规划布局时充分考虑了九原区的环境现状问题和经济条件，根据不同分区制定相应的专项规划方案对改善九原区水生态环境，提升水环境质量具有积极影响。规划布局基本合理。</w:t>
      </w:r>
    </w:p>
    <w:p w14:paraId="3E0DE295">
      <w:pPr>
        <w:pStyle w:val="4"/>
        <w:widowControl/>
        <w:adjustRightInd w:val="0"/>
        <w:spacing w:before="0" w:after="0" w:line="360" w:lineRule="auto"/>
        <w:jc w:val="left"/>
        <w:rPr>
          <w:rFonts w:eastAsia="黑体" w:cs="Times New Roman"/>
          <w:b w:val="0"/>
          <w:bCs w:val="0"/>
          <w:kern w:val="0"/>
          <w:sz w:val="28"/>
          <w:szCs w:val="28"/>
        </w:rPr>
      </w:pPr>
      <w:bookmarkStart w:id="227" w:name="_Toc198652135"/>
      <w:r>
        <w:rPr>
          <w:rFonts w:eastAsia="黑体" w:cs="Times New Roman"/>
          <w:b w:val="0"/>
          <w:bCs w:val="0"/>
          <w:kern w:val="0"/>
          <w:sz w:val="28"/>
          <w:szCs w:val="28"/>
        </w:rPr>
        <w:t>10.</w:t>
      </w:r>
      <w:r>
        <w:rPr>
          <w:rFonts w:hint="eastAsia" w:eastAsia="黑体" w:cs="Times New Roman"/>
          <w:b w:val="0"/>
          <w:bCs w:val="0"/>
          <w:kern w:val="0"/>
          <w:sz w:val="28"/>
          <w:szCs w:val="28"/>
        </w:rPr>
        <w:t>4</w:t>
      </w:r>
      <w:r>
        <w:rPr>
          <w:rFonts w:eastAsia="黑体" w:cs="Times New Roman"/>
          <w:b w:val="0"/>
          <w:bCs w:val="0"/>
          <w:kern w:val="0"/>
          <w:sz w:val="28"/>
          <w:szCs w:val="28"/>
        </w:rPr>
        <w:t>.2规划规模的环境合理性分析</w:t>
      </w:r>
      <w:bookmarkEnd w:id="227"/>
    </w:p>
    <w:p w14:paraId="35BA43EC">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本次水网规划主要包括水资源配置体系、防洪减灾体系、水生态保护修复体系、数字孪生水网体系等内容。</w:t>
      </w:r>
    </w:p>
    <w:p w14:paraId="45CC8DC0">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以深度节水控水为前提，严格落实四水四定，促进供用水结构“双调整”，全面提升水资源节约集约利用水平，能够全面提升水资源调配能力、供水保障能力、风险防控能力，全方位、高质量保证供水安全、粮食安全。因此，规划规模基本合理。</w:t>
      </w:r>
    </w:p>
    <w:p w14:paraId="5366D07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28" w:name="_Toc198652136"/>
      <w:r>
        <w:rPr>
          <w:rFonts w:ascii="Times New Roman" w:hAnsi="Times New Roman" w:eastAsia="黑体" w:cs="Times New Roman"/>
          <w:b w:val="0"/>
          <w:bCs w:val="0"/>
          <w:kern w:val="0"/>
          <w:sz w:val="28"/>
          <w:szCs w:val="28"/>
        </w:rPr>
        <w:t>10.</w:t>
      </w:r>
      <w:r>
        <w:rPr>
          <w:rFonts w:hint="eastAsia" w:ascii="Times New Roman" w:hAnsi="Times New Roman" w:eastAsia="黑体" w:cs="Times New Roman"/>
          <w:b w:val="0"/>
          <w:bCs w:val="0"/>
          <w:kern w:val="0"/>
          <w:sz w:val="28"/>
          <w:szCs w:val="28"/>
        </w:rPr>
        <w:t>5</w:t>
      </w:r>
      <w:r>
        <w:rPr>
          <w:rFonts w:ascii="Times New Roman" w:hAnsi="Times New Roman" w:eastAsia="黑体" w:cs="Times New Roman"/>
          <w:b w:val="0"/>
          <w:bCs w:val="0"/>
          <w:kern w:val="0"/>
          <w:sz w:val="28"/>
          <w:szCs w:val="28"/>
        </w:rPr>
        <w:t>环境影响</w:t>
      </w:r>
      <w:r>
        <w:rPr>
          <w:rFonts w:hint="eastAsia" w:ascii="Times New Roman" w:hAnsi="Times New Roman" w:eastAsia="黑体" w:cs="Times New Roman"/>
          <w:b w:val="0"/>
          <w:bCs w:val="0"/>
          <w:kern w:val="0"/>
          <w:sz w:val="28"/>
          <w:szCs w:val="28"/>
        </w:rPr>
        <w:t>减缓</w:t>
      </w:r>
      <w:r>
        <w:rPr>
          <w:rFonts w:ascii="Times New Roman" w:hAnsi="Times New Roman" w:eastAsia="黑体" w:cs="Times New Roman"/>
          <w:b w:val="0"/>
          <w:bCs w:val="0"/>
          <w:kern w:val="0"/>
          <w:sz w:val="28"/>
          <w:szCs w:val="28"/>
        </w:rPr>
        <w:t>对策措施</w:t>
      </w:r>
      <w:bookmarkEnd w:id="228"/>
    </w:p>
    <w:p w14:paraId="2A59787F">
      <w:pPr>
        <w:pStyle w:val="4"/>
        <w:widowControl/>
        <w:adjustRightInd w:val="0"/>
        <w:spacing w:before="0" w:after="0" w:line="360" w:lineRule="auto"/>
        <w:jc w:val="left"/>
        <w:rPr>
          <w:rFonts w:eastAsia="黑体" w:cs="Times New Roman"/>
          <w:b w:val="0"/>
          <w:bCs w:val="0"/>
          <w:kern w:val="0"/>
          <w:sz w:val="28"/>
          <w:szCs w:val="28"/>
        </w:rPr>
      </w:pPr>
      <w:bookmarkStart w:id="229" w:name="_Toc198652137"/>
      <w:r>
        <w:rPr>
          <w:rFonts w:eastAsia="黑体" w:cs="Times New Roman"/>
          <w:b w:val="0"/>
          <w:bCs w:val="0"/>
          <w:kern w:val="0"/>
          <w:sz w:val="28"/>
          <w:szCs w:val="28"/>
        </w:rPr>
        <w:t>10.</w:t>
      </w:r>
      <w:r>
        <w:rPr>
          <w:rFonts w:hint="eastAsia" w:eastAsia="黑体" w:cs="Times New Roman"/>
          <w:b w:val="0"/>
          <w:bCs w:val="0"/>
          <w:kern w:val="0"/>
          <w:sz w:val="28"/>
          <w:szCs w:val="28"/>
        </w:rPr>
        <w:t>5</w:t>
      </w:r>
      <w:r>
        <w:rPr>
          <w:rFonts w:eastAsia="黑体" w:cs="Times New Roman"/>
          <w:b w:val="0"/>
          <w:bCs w:val="0"/>
          <w:kern w:val="0"/>
          <w:sz w:val="28"/>
          <w:szCs w:val="28"/>
        </w:rPr>
        <w:t>.1</w:t>
      </w:r>
      <w:bookmarkStart w:id="230" w:name="OLE_LINK10"/>
      <w:r>
        <w:rPr>
          <w:rFonts w:eastAsia="黑体" w:cs="Times New Roman"/>
          <w:b w:val="0"/>
          <w:bCs w:val="0"/>
          <w:kern w:val="0"/>
          <w:sz w:val="28"/>
          <w:szCs w:val="28"/>
        </w:rPr>
        <w:t>建立生态和环境监测体系，指定跟踪评价计划</w:t>
      </w:r>
      <w:bookmarkEnd w:id="229"/>
    </w:p>
    <w:p w14:paraId="45706A3E">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生态保护是持续性的动态保护，需要建立和完善生态与环境监测体系。根据生态与环境监测体系，对不同专业和工程项目进行系统的环境监测和跟踪评价。根据环境监测结果和跟踪评价结论对规划方案进行优化调整，改进相应措施。</w:t>
      </w:r>
    </w:p>
    <w:p w14:paraId="04A898A8">
      <w:pPr>
        <w:pStyle w:val="4"/>
        <w:widowControl/>
        <w:adjustRightInd w:val="0"/>
        <w:spacing w:before="0" w:after="0" w:line="360" w:lineRule="auto"/>
        <w:jc w:val="left"/>
        <w:rPr>
          <w:rFonts w:eastAsia="黑体" w:cs="Times New Roman"/>
          <w:b w:val="0"/>
          <w:bCs w:val="0"/>
          <w:kern w:val="0"/>
          <w:sz w:val="28"/>
          <w:szCs w:val="28"/>
        </w:rPr>
      </w:pPr>
      <w:bookmarkStart w:id="231" w:name="_Toc198652138"/>
      <w:r>
        <w:rPr>
          <w:rFonts w:eastAsia="黑体" w:cs="Times New Roman"/>
          <w:b w:val="0"/>
          <w:bCs w:val="0"/>
          <w:kern w:val="0"/>
          <w:sz w:val="28"/>
          <w:szCs w:val="28"/>
        </w:rPr>
        <w:t>10.</w:t>
      </w:r>
      <w:r>
        <w:rPr>
          <w:rFonts w:hint="eastAsia" w:eastAsia="黑体" w:cs="Times New Roman"/>
          <w:b w:val="0"/>
          <w:bCs w:val="0"/>
          <w:kern w:val="0"/>
          <w:sz w:val="28"/>
          <w:szCs w:val="28"/>
        </w:rPr>
        <w:t>5</w:t>
      </w:r>
      <w:r>
        <w:rPr>
          <w:rFonts w:eastAsia="黑体" w:cs="Times New Roman"/>
          <w:b w:val="0"/>
          <w:bCs w:val="0"/>
          <w:kern w:val="0"/>
          <w:sz w:val="28"/>
          <w:szCs w:val="28"/>
        </w:rPr>
        <w:t>.2严格执行建设项目的环境影响评价审批制度</w:t>
      </w:r>
      <w:bookmarkEnd w:id="231"/>
    </w:p>
    <w:p w14:paraId="52F5071F">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本规划内的具体建设项目，在可行性研究阶段须按照环境影响评价法和建设项目保护管理规定，进行建设项目环境影响评价工作，提出切实有效的环境保护措施。</w:t>
      </w:r>
    </w:p>
    <w:p w14:paraId="1D1F22E8">
      <w:pPr>
        <w:pStyle w:val="4"/>
        <w:widowControl/>
        <w:adjustRightInd w:val="0"/>
        <w:spacing w:before="0" w:after="0" w:line="360" w:lineRule="auto"/>
        <w:jc w:val="left"/>
        <w:rPr>
          <w:rFonts w:eastAsia="黑体" w:cs="Times New Roman"/>
          <w:b w:val="0"/>
          <w:bCs w:val="0"/>
          <w:kern w:val="0"/>
          <w:sz w:val="28"/>
          <w:szCs w:val="28"/>
        </w:rPr>
      </w:pPr>
      <w:bookmarkStart w:id="232" w:name="_Toc198652139"/>
      <w:r>
        <w:rPr>
          <w:rFonts w:eastAsia="黑体" w:cs="Times New Roman"/>
          <w:b w:val="0"/>
          <w:bCs w:val="0"/>
          <w:kern w:val="0"/>
          <w:sz w:val="28"/>
          <w:szCs w:val="28"/>
        </w:rPr>
        <w:t>10.</w:t>
      </w:r>
      <w:r>
        <w:rPr>
          <w:rFonts w:hint="eastAsia" w:eastAsia="黑体" w:cs="Times New Roman"/>
          <w:b w:val="0"/>
          <w:bCs w:val="0"/>
          <w:kern w:val="0"/>
          <w:sz w:val="28"/>
          <w:szCs w:val="28"/>
        </w:rPr>
        <w:t>5</w:t>
      </w:r>
      <w:r>
        <w:rPr>
          <w:rFonts w:eastAsia="黑体" w:cs="Times New Roman"/>
          <w:b w:val="0"/>
          <w:bCs w:val="0"/>
          <w:kern w:val="0"/>
          <w:sz w:val="28"/>
          <w:szCs w:val="28"/>
        </w:rPr>
        <w:t>.3严格环境准入要求和环评审批</w:t>
      </w:r>
      <w:bookmarkEnd w:id="232"/>
    </w:p>
    <w:p w14:paraId="4E8ACE4F">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在工程设计阶段，严格环境准入要求和环评审批，严禁红线占压和违规建设，协调上下游乃至整条河流的用水要求，保障下游生态用水。</w:t>
      </w:r>
      <w:r>
        <w:rPr>
          <w:rFonts w:hint="eastAsia" w:cs="Times New Roman"/>
          <w:color w:val="000000" w:themeColor="text1"/>
          <w:kern w:val="0"/>
          <w:sz w:val="28"/>
          <w:szCs w:val="28"/>
          <w14:textFill>
            <w14:solidFill>
              <w14:schemeClr w14:val="tx1"/>
            </w14:solidFill>
          </w14:textFill>
        </w:rPr>
        <w:t>严格落实规划建设项目环境影响评价和环境保护“三同时”管理制度，项目实施中同步建立健全水文情势、生态流量、水环境、水生态等监测体系，对规划实施情况进行环境影响跟踪监测和评估。</w:t>
      </w:r>
    </w:p>
    <w:p w14:paraId="3E199719">
      <w:pPr>
        <w:pStyle w:val="4"/>
        <w:widowControl/>
        <w:adjustRightInd w:val="0"/>
        <w:spacing w:before="0" w:after="0" w:line="360" w:lineRule="auto"/>
        <w:jc w:val="left"/>
        <w:rPr>
          <w:rFonts w:eastAsia="黑体" w:cs="Times New Roman"/>
          <w:b w:val="0"/>
          <w:bCs w:val="0"/>
          <w:kern w:val="0"/>
          <w:sz w:val="28"/>
          <w:szCs w:val="28"/>
        </w:rPr>
      </w:pPr>
      <w:bookmarkStart w:id="233" w:name="_Toc198652140"/>
      <w:r>
        <w:rPr>
          <w:rFonts w:eastAsia="黑体" w:cs="Times New Roman"/>
          <w:b w:val="0"/>
          <w:bCs w:val="0"/>
          <w:kern w:val="0"/>
          <w:sz w:val="28"/>
          <w:szCs w:val="28"/>
        </w:rPr>
        <w:t>10.</w:t>
      </w:r>
      <w:r>
        <w:rPr>
          <w:rFonts w:hint="eastAsia" w:eastAsia="黑体" w:cs="Times New Roman"/>
          <w:b w:val="0"/>
          <w:bCs w:val="0"/>
          <w:kern w:val="0"/>
          <w:sz w:val="28"/>
          <w:szCs w:val="28"/>
        </w:rPr>
        <w:t>5</w:t>
      </w:r>
      <w:r>
        <w:rPr>
          <w:rFonts w:eastAsia="黑体" w:cs="Times New Roman"/>
          <w:b w:val="0"/>
          <w:bCs w:val="0"/>
          <w:kern w:val="0"/>
          <w:sz w:val="28"/>
          <w:szCs w:val="28"/>
        </w:rPr>
        <w:t>.4建立政策保障，强化规划约束</w:t>
      </w:r>
      <w:bookmarkEnd w:id="233"/>
    </w:p>
    <w:bookmarkEnd w:id="230"/>
    <w:p w14:paraId="35F27B10">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确立《九原区水网建设规划》的指导性地位，将其目标、任务和建设内容全面纳入《九原区国土空间总体规划》的各项内容和远景规划中，开展相应的专项规划设计，保障水网规划目标和实施内容的顺利实现。抓紧制定和出台有利于水网建设的各项政策和配套措施，从价格、财政、税收、金融、土地等方面制定优惠和倾斜的经济政策，从行政和管理措施上，制定水网建设项目的快车道审批程序(简化前期工作审批程序)，加快水网建设。</w:t>
      </w:r>
    </w:p>
    <w:p w14:paraId="3267E942">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34" w:name="_Toc198652141"/>
      <w:r>
        <w:rPr>
          <w:rFonts w:ascii="Times New Roman" w:hAnsi="Times New Roman" w:eastAsia="黑体" w:cs="Times New Roman"/>
          <w:b w:val="0"/>
          <w:bCs w:val="0"/>
          <w:kern w:val="0"/>
          <w:sz w:val="28"/>
          <w:szCs w:val="28"/>
        </w:rPr>
        <w:t>10.</w:t>
      </w:r>
      <w:r>
        <w:rPr>
          <w:rFonts w:hint="eastAsia" w:ascii="Times New Roman" w:hAnsi="Times New Roman" w:eastAsia="黑体" w:cs="Times New Roman"/>
          <w:b w:val="0"/>
          <w:bCs w:val="0"/>
          <w:kern w:val="0"/>
          <w:sz w:val="28"/>
          <w:szCs w:val="28"/>
        </w:rPr>
        <w:t>6综合评价</w:t>
      </w:r>
      <w:r>
        <w:rPr>
          <w:rFonts w:ascii="Times New Roman" w:hAnsi="Times New Roman" w:eastAsia="黑体" w:cs="Times New Roman"/>
          <w:b w:val="0"/>
          <w:bCs w:val="0"/>
          <w:kern w:val="0"/>
          <w:sz w:val="28"/>
          <w:szCs w:val="28"/>
        </w:rPr>
        <w:t>结论</w:t>
      </w:r>
      <w:bookmarkEnd w:id="234"/>
    </w:p>
    <w:p w14:paraId="576C57A6">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九原区水网规划坚持贯彻绿水青山就是金山银山的理念，坚持山水林田湖草沙一体化保护和系统治理，充分结合九原区自然环境特点、经济社会发展需要和环境保护要求，制定环境保护对策，最大限度降低规划实施对生态环境带来的不利影响。</w:t>
      </w:r>
    </w:p>
    <w:p w14:paraId="37122984">
      <w:pPr>
        <w:adjustRightInd w:val="0"/>
        <w:ind w:firstLine="560" w:firstLineChars="200"/>
        <w:rPr>
          <w:rFonts w:cs="Times New Roman"/>
          <w:color w:val="000000" w:themeColor="text1"/>
          <w:kern w:val="0"/>
          <w:sz w:val="28"/>
          <w:szCs w:val="28"/>
          <w14:textFill>
            <w14:solidFill>
              <w14:schemeClr w14:val="tx1"/>
            </w14:solidFill>
          </w14:textFill>
        </w:rPr>
        <w:sectPr>
          <w:headerReference r:id="rId20" w:type="default"/>
          <w:pgSz w:w="11906" w:h="16838"/>
          <w:pgMar w:top="1440" w:right="1800" w:bottom="1440" w:left="1800" w:header="851" w:footer="992" w:gutter="0"/>
          <w:cols w:space="425" w:num="1"/>
          <w:docGrid w:type="lines" w:linePitch="312" w:charSpace="0"/>
        </w:sectPr>
      </w:pPr>
      <w:r>
        <w:rPr>
          <w:rFonts w:cs="Times New Roman"/>
          <w:color w:val="000000" w:themeColor="text1"/>
          <w:kern w:val="0"/>
          <w:sz w:val="28"/>
          <w:szCs w:val="28"/>
          <w14:textFill>
            <w14:solidFill>
              <w14:schemeClr w14:val="tx1"/>
            </w14:solidFill>
          </w14:textFill>
        </w:rPr>
        <w:t>规划实施后，有利于全面提高九原区防洪能力，牢防汛安全屏障;有利于饮用水水源地保护，让千家万户喝上放心水;有利于治理和控制水土流失问题，改善水源地生态环境，规划方案的实施不会对环境产生较大不利影响，不存在明显的环境制约性因素，规划方案基本可行。</w:t>
      </w:r>
    </w:p>
    <w:p w14:paraId="1B11B911">
      <w:pPr>
        <w:pStyle w:val="2"/>
        <w:widowControl/>
        <w:adjustRightInd w:val="0"/>
        <w:spacing w:before="0" w:after="0" w:line="360" w:lineRule="auto"/>
        <w:jc w:val="left"/>
        <w:rPr>
          <w:rFonts w:eastAsia="黑体" w:cs="Times New Roman"/>
          <w:b w:val="0"/>
          <w:bCs w:val="0"/>
          <w:sz w:val="32"/>
          <w:szCs w:val="48"/>
        </w:rPr>
      </w:pPr>
      <w:bookmarkStart w:id="235" w:name="_Toc198652142"/>
      <w:r>
        <w:rPr>
          <w:rFonts w:eastAsia="黑体" w:cs="Times New Roman"/>
          <w:b w:val="0"/>
          <w:bCs w:val="0"/>
          <w:sz w:val="32"/>
          <w:szCs w:val="48"/>
        </w:rPr>
        <w:t>11保障措施</w:t>
      </w:r>
      <w:bookmarkEnd w:id="214"/>
      <w:bookmarkEnd w:id="215"/>
      <w:bookmarkEnd w:id="216"/>
      <w:bookmarkEnd w:id="235"/>
    </w:p>
    <w:p w14:paraId="11F58FEE">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36" w:name="_Toc198652143"/>
      <w:r>
        <w:rPr>
          <w:rFonts w:ascii="Times New Roman" w:hAnsi="Times New Roman" w:eastAsia="黑体" w:cs="Times New Roman"/>
          <w:b w:val="0"/>
          <w:bCs w:val="0"/>
          <w:kern w:val="0"/>
          <w:sz w:val="28"/>
          <w:szCs w:val="28"/>
        </w:rPr>
        <w:t>11.1</w:t>
      </w:r>
      <w:bookmarkStart w:id="237" w:name="OLE_LINK11"/>
      <w:r>
        <w:rPr>
          <w:rFonts w:ascii="Times New Roman" w:hAnsi="Times New Roman" w:eastAsia="黑体" w:cs="Times New Roman"/>
          <w:b w:val="0"/>
          <w:bCs w:val="0"/>
          <w:kern w:val="0"/>
          <w:sz w:val="28"/>
          <w:szCs w:val="28"/>
        </w:rPr>
        <w:t>加强组织领导</w:t>
      </w:r>
      <w:bookmarkEnd w:id="236"/>
    </w:p>
    <w:p w14:paraId="20469D48">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建立健全分工明确的责任体系，明确有关部门组织分工，分解落实规划目标任务，细化工作安排，加强监督检查，实现清单化闭环管理；在九原区政府领导下，水利部门牵头，</w:t>
      </w:r>
      <w:r>
        <w:rPr>
          <w:rFonts w:hint="eastAsia" w:cs="Times New Roman"/>
          <w:color w:val="000000" w:themeColor="text1"/>
          <w:kern w:val="0"/>
          <w:sz w:val="28"/>
          <w:szCs w:val="28"/>
          <w14:textFill>
            <w14:solidFill>
              <w14:schemeClr w14:val="tx1"/>
            </w14:solidFill>
          </w14:textFill>
        </w:rPr>
        <w:t>深化水务管理体制和水利工程管理体制等改革，加快水权制度建设相关基础工作，建立和完善水市场理论指导下的水价形成机制，以科学的水价政策优化水资源配置，促进水资源的可持续利用。深化水利行政管理体制改革，规范水利行政许可行为；推行水利政务公开制度；提高水利基层管理单位良性发展的能力；发挥水利部门的职能作用和行业自律组织的作用，保证水利管理工作健康有效进行。</w:t>
      </w:r>
    </w:p>
    <w:p w14:paraId="3B78654C">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fldChar w:fldCharType="begin"/>
      </w:r>
      <w:r>
        <w:rPr>
          <w:rFonts w:cs="Times New Roman"/>
          <w:color w:val="000000" w:themeColor="text1"/>
          <w:kern w:val="0"/>
          <w:sz w:val="28"/>
          <w:szCs w:val="28"/>
          <w14:textFill>
            <w14:solidFill>
              <w14:schemeClr w14:val="tx1"/>
            </w14:solidFill>
          </w14:textFill>
        </w:rPr>
        <w:instrText xml:space="preserve"> </w:instrText>
      </w:r>
      <w:r>
        <w:rPr>
          <w:rFonts w:hint="eastAsia" w:cs="Times New Roman"/>
          <w:color w:val="000000" w:themeColor="text1"/>
          <w:kern w:val="0"/>
          <w:sz w:val="28"/>
          <w:szCs w:val="28"/>
          <w14:textFill>
            <w14:solidFill>
              <w14:schemeClr w14:val="tx1"/>
            </w14:solidFill>
          </w14:textFill>
        </w:rPr>
        <w:instrText xml:space="preserve">= 1 \* GB2</w:instrText>
      </w:r>
      <w:r>
        <w:rPr>
          <w:rFonts w:cs="Times New Roman"/>
          <w:color w:val="000000" w:themeColor="text1"/>
          <w:kern w:val="0"/>
          <w:sz w:val="28"/>
          <w:szCs w:val="28"/>
          <w14:textFill>
            <w14:solidFill>
              <w14:schemeClr w14:val="tx1"/>
            </w14:solidFill>
          </w14:textFill>
        </w:rPr>
        <w:instrText xml:space="preserve"> </w:instrText>
      </w:r>
      <w:r>
        <w:rPr>
          <w:rFonts w:cs="Times New Roman"/>
          <w:color w:val="000000" w:themeColor="text1"/>
          <w:kern w:val="0"/>
          <w:sz w:val="28"/>
          <w:szCs w:val="28"/>
          <w14:textFill>
            <w14:solidFill>
              <w14:schemeClr w14:val="tx1"/>
            </w14:solidFill>
          </w14:textFill>
        </w:rPr>
        <w:fldChar w:fldCharType="separate"/>
      </w:r>
      <w:r>
        <w:rPr>
          <w:rFonts w:hint="eastAsia" w:cs="Times New Roman"/>
          <w:color w:val="000000" w:themeColor="text1"/>
          <w:kern w:val="0"/>
          <w:sz w:val="28"/>
          <w:szCs w:val="28"/>
          <w14:textFill>
            <w14:solidFill>
              <w14:schemeClr w14:val="tx1"/>
            </w14:solidFill>
          </w14:textFill>
        </w:rPr>
        <w:t>⑴</w:t>
      </w:r>
      <w:r>
        <w:rPr>
          <w:rFonts w:cs="Times New Roman"/>
          <w:color w:val="000000" w:themeColor="text1"/>
          <w:kern w:val="0"/>
          <w:sz w:val="28"/>
          <w:szCs w:val="28"/>
          <w14:textFill>
            <w14:solidFill>
              <w14:schemeClr w14:val="tx1"/>
            </w14:solidFill>
          </w14:textFill>
        </w:rPr>
        <w:fldChar w:fldCharType="end"/>
      </w:r>
      <w:r>
        <w:rPr>
          <w:rFonts w:hint="eastAsia" w:cs="Times New Roman"/>
          <w:color w:val="000000" w:themeColor="text1"/>
          <w:kern w:val="0"/>
          <w:sz w:val="28"/>
          <w:szCs w:val="28"/>
          <w14:textFill>
            <w14:solidFill>
              <w14:schemeClr w14:val="tx1"/>
            </w14:solidFill>
          </w14:textFill>
        </w:rPr>
        <w:t>政府部门要进一步明确水行政主管部门对水行政事务统一管理的职能，将城镇供水、排水、污水处理及回用等职能由水利部门统一管理，相关单位和企业归口水利行业管理，要着力改善水利与环保、城建、市政等部门交叉重叠的环节。切实做到城乡水资源统一管理、调度和建设，地表水和地下水联合利用，有效解决城市防洪、供水和污水处理及回用等水资源问题；</w:t>
      </w:r>
    </w:p>
    <w:p w14:paraId="189FEB11">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fldChar w:fldCharType="begin"/>
      </w:r>
      <w:r>
        <w:rPr>
          <w:rFonts w:cs="Times New Roman"/>
          <w:color w:val="000000" w:themeColor="text1"/>
          <w:kern w:val="0"/>
          <w:sz w:val="28"/>
          <w:szCs w:val="28"/>
          <w14:textFill>
            <w14:solidFill>
              <w14:schemeClr w14:val="tx1"/>
            </w14:solidFill>
          </w14:textFill>
        </w:rPr>
        <w:instrText xml:space="preserve"> </w:instrText>
      </w:r>
      <w:r>
        <w:rPr>
          <w:rFonts w:hint="eastAsia" w:cs="Times New Roman"/>
          <w:color w:val="000000" w:themeColor="text1"/>
          <w:kern w:val="0"/>
          <w:sz w:val="28"/>
          <w:szCs w:val="28"/>
          <w14:textFill>
            <w14:solidFill>
              <w14:schemeClr w14:val="tx1"/>
            </w14:solidFill>
          </w14:textFill>
        </w:rPr>
        <w:instrText xml:space="preserve">= 2 \* GB2</w:instrText>
      </w:r>
      <w:r>
        <w:rPr>
          <w:rFonts w:cs="Times New Roman"/>
          <w:color w:val="000000" w:themeColor="text1"/>
          <w:kern w:val="0"/>
          <w:sz w:val="28"/>
          <w:szCs w:val="28"/>
          <w14:textFill>
            <w14:solidFill>
              <w14:schemeClr w14:val="tx1"/>
            </w14:solidFill>
          </w14:textFill>
        </w:rPr>
        <w:instrText xml:space="preserve"> </w:instrText>
      </w:r>
      <w:r>
        <w:rPr>
          <w:rFonts w:cs="Times New Roman"/>
          <w:color w:val="000000" w:themeColor="text1"/>
          <w:kern w:val="0"/>
          <w:sz w:val="28"/>
          <w:szCs w:val="28"/>
          <w14:textFill>
            <w14:solidFill>
              <w14:schemeClr w14:val="tx1"/>
            </w14:solidFill>
          </w14:textFill>
        </w:rPr>
        <w:fldChar w:fldCharType="separate"/>
      </w:r>
      <w:r>
        <w:rPr>
          <w:rFonts w:hint="eastAsia" w:cs="Times New Roman"/>
          <w:color w:val="000000" w:themeColor="text1"/>
          <w:kern w:val="0"/>
          <w:sz w:val="28"/>
          <w:szCs w:val="28"/>
          <w14:textFill>
            <w14:solidFill>
              <w14:schemeClr w14:val="tx1"/>
            </w14:solidFill>
          </w14:textFill>
        </w:rPr>
        <w:t>⑵</w:t>
      </w:r>
      <w:r>
        <w:rPr>
          <w:rFonts w:cs="Times New Roman"/>
          <w:color w:val="000000" w:themeColor="text1"/>
          <w:kern w:val="0"/>
          <w:sz w:val="28"/>
          <w:szCs w:val="28"/>
          <w14:textFill>
            <w14:solidFill>
              <w14:schemeClr w14:val="tx1"/>
            </w14:solidFill>
          </w14:textFill>
        </w:rPr>
        <w:fldChar w:fldCharType="end"/>
      </w:r>
      <w:r>
        <w:rPr>
          <w:rFonts w:hint="eastAsia" w:cs="Times New Roman"/>
          <w:color w:val="000000" w:themeColor="text1"/>
          <w:kern w:val="0"/>
          <w:sz w:val="28"/>
          <w:szCs w:val="28"/>
          <w14:textFill>
            <w14:solidFill>
              <w14:schemeClr w14:val="tx1"/>
            </w14:solidFill>
          </w14:textFill>
        </w:rPr>
        <w:t>进一步实施水务改革，引进市场机制，进一步开放水市场，对供水、污水处理等切实做到政企分开，大大减轻政府对城市供水和污水处理补贴的负担；</w:t>
      </w:r>
    </w:p>
    <w:p w14:paraId="08EC9360">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fldChar w:fldCharType="begin"/>
      </w:r>
      <w:r>
        <w:rPr>
          <w:rFonts w:cs="Times New Roman"/>
          <w:color w:val="000000" w:themeColor="text1"/>
          <w:kern w:val="0"/>
          <w:sz w:val="28"/>
          <w:szCs w:val="28"/>
          <w14:textFill>
            <w14:solidFill>
              <w14:schemeClr w14:val="tx1"/>
            </w14:solidFill>
          </w14:textFill>
        </w:rPr>
        <w:instrText xml:space="preserve"> </w:instrText>
      </w:r>
      <w:r>
        <w:rPr>
          <w:rFonts w:hint="eastAsia" w:cs="Times New Roman"/>
          <w:color w:val="000000" w:themeColor="text1"/>
          <w:kern w:val="0"/>
          <w:sz w:val="28"/>
          <w:szCs w:val="28"/>
          <w14:textFill>
            <w14:solidFill>
              <w14:schemeClr w14:val="tx1"/>
            </w14:solidFill>
          </w14:textFill>
        </w:rPr>
        <w:instrText xml:space="preserve">= 3 \* GB2</w:instrText>
      </w:r>
      <w:r>
        <w:rPr>
          <w:rFonts w:cs="Times New Roman"/>
          <w:color w:val="000000" w:themeColor="text1"/>
          <w:kern w:val="0"/>
          <w:sz w:val="28"/>
          <w:szCs w:val="28"/>
          <w14:textFill>
            <w14:solidFill>
              <w14:schemeClr w14:val="tx1"/>
            </w14:solidFill>
          </w14:textFill>
        </w:rPr>
        <w:instrText xml:space="preserve"> </w:instrText>
      </w:r>
      <w:r>
        <w:rPr>
          <w:rFonts w:cs="Times New Roman"/>
          <w:color w:val="000000" w:themeColor="text1"/>
          <w:kern w:val="0"/>
          <w:sz w:val="28"/>
          <w:szCs w:val="28"/>
          <w14:textFill>
            <w14:solidFill>
              <w14:schemeClr w14:val="tx1"/>
            </w14:solidFill>
          </w14:textFill>
        </w:rPr>
        <w:fldChar w:fldCharType="separate"/>
      </w:r>
      <w:r>
        <w:rPr>
          <w:rFonts w:hint="eastAsia" w:cs="Times New Roman"/>
          <w:color w:val="000000" w:themeColor="text1"/>
          <w:kern w:val="0"/>
          <w:sz w:val="28"/>
          <w:szCs w:val="28"/>
          <w14:textFill>
            <w14:solidFill>
              <w14:schemeClr w14:val="tx1"/>
            </w14:solidFill>
          </w14:textFill>
        </w:rPr>
        <w:t>⑶</w:t>
      </w:r>
      <w:r>
        <w:rPr>
          <w:rFonts w:cs="Times New Roman"/>
          <w:color w:val="000000" w:themeColor="text1"/>
          <w:kern w:val="0"/>
          <w:sz w:val="28"/>
          <w:szCs w:val="28"/>
          <w14:textFill>
            <w14:solidFill>
              <w14:schemeClr w14:val="tx1"/>
            </w14:solidFill>
          </w14:textFill>
        </w:rPr>
        <w:fldChar w:fldCharType="end"/>
      </w:r>
      <w:r>
        <w:rPr>
          <w:rFonts w:hint="eastAsia" w:cs="Times New Roman"/>
          <w:color w:val="000000" w:themeColor="text1"/>
          <w:kern w:val="0"/>
          <w:sz w:val="28"/>
          <w:szCs w:val="28"/>
          <w14:textFill>
            <w14:solidFill>
              <w14:schemeClr w14:val="tx1"/>
            </w14:solidFill>
          </w14:textFill>
        </w:rPr>
        <w:t>推进水价改革，培育水市场，促进城乡节水和污水处理及回用，使有限的水资源实现优化配置；</w:t>
      </w:r>
    </w:p>
    <w:p w14:paraId="149F4D45">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38" w:name="_Toc198652144"/>
      <w:r>
        <w:rPr>
          <w:rFonts w:ascii="Times New Roman" w:hAnsi="Times New Roman" w:eastAsia="黑体" w:cs="Times New Roman"/>
          <w:b w:val="0"/>
          <w:bCs w:val="0"/>
          <w:kern w:val="0"/>
          <w:sz w:val="28"/>
          <w:szCs w:val="28"/>
        </w:rPr>
        <w:t>11.2强化前期工作</w:t>
      </w:r>
      <w:bookmarkEnd w:id="238"/>
    </w:p>
    <w:p w14:paraId="0043E388">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在项目前期工作中，九原区相关部门将建立健全责任制，完善质量评价体系，并推行市场准入和审批终身负责制，优化审批流程，加强技术审查，严格执行标准和规范，确保经费投入有效。同时，将细化环境影响评价、移民征地案件等相关分析论证方案，确保前期工作质量、深度和进度。此外，要妥善解决国土空间调整、生态环境制约、移民征地落实、水资源分配及利益冲突等重大问题，合理规划建设方案，科学实施。九原区水利局将组织编制“十四五”水利发展规划，通过实地调查、召开座谈会并结合技术干部的经验和地方实际情况，衔接其他行业规划，形成社会关注和参与的氛围。规划明确各项任务后，将组织力量、安排投资并认真落实，确保切合九原区特点及实际问题，具有可操作性和指导意义。同时加强评估机制，在实施过程中通过多种形式听取公众意见，反映社会意愿，保证规划科学合理可持续发展。</w:t>
      </w:r>
    </w:p>
    <w:p w14:paraId="3E63FF32">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39" w:name="_Toc198652145"/>
      <w:r>
        <w:rPr>
          <w:rFonts w:ascii="Times New Roman" w:hAnsi="Times New Roman" w:eastAsia="黑体" w:cs="Times New Roman"/>
          <w:b w:val="0"/>
          <w:bCs w:val="0"/>
          <w:kern w:val="0"/>
          <w:sz w:val="28"/>
          <w:szCs w:val="28"/>
        </w:rPr>
        <w:t>11.3加大资金投入</w:t>
      </w:r>
      <w:bookmarkEnd w:id="239"/>
    </w:p>
    <w:p w14:paraId="05DD2DF6">
      <w:pPr>
        <w:adjustRightInd w:val="0"/>
        <w:ind w:firstLine="560" w:firstLineChars="200"/>
        <w:rPr>
          <w:rFonts w:cs="Times New Roman"/>
          <w:color w:val="000000" w:themeColor="text1"/>
          <w:kern w:val="0"/>
          <w:sz w:val="28"/>
          <w:szCs w:val="28"/>
          <w14:textFill>
            <w14:solidFill>
              <w14:schemeClr w14:val="tx1"/>
            </w14:solidFill>
          </w14:textFill>
        </w:rPr>
      </w:pPr>
      <w:r>
        <w:rPr>
          <w:rFonts w:cs="Times New Roman"/>
          <w:color w:val="000000" w:themeColor="text1"/>
          <w:kern w:val="0"/>
          <w:sz w:val="28"/>
          <w:szCs w:val="28"/>
          <w14:textFill>
            <w14:solidFill>
              <w14:schemeClr w14:val="tx1"/>
            </w14:solidFill>
          </w14:textFill>
        </w:rPr>
        <w:t>建立多元化资金筹措保障机制，扩大资金来源。紧抓国家加大水利投入的机遇，积极争取国家项目和资金支持，充分发挥政府投资撬动作用，有效带动激发民间投资，在不新增政府隐性债务的前提下，争取金融机构信贷资金支持，探索采用不动产投资信托基金（REITs）等方式盘活水利投资。利用信贷等政策措施为水利融资提供便利，鼓励社会资本参与水利建设和运营管理，构建稳定、多元的水利投融资机制，多层面、多渠道筹措落实水利建设资金。</w:t>
      </w:r>
    </w:p>
    <w:p w14:paraId="1D4204AC">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40" w:name="_Toc198652146"/>
      <w:r>
        <w:rPr>
          <w:rFonts w:ascii="Times New Roman" w:hAnsi="Times New Roman" w:eastAsia="黑体" w:cs="Times New Roman"/>
          <w:b w:val="0"/>
          <w:bCs w:val="0"/>
          <w:kern w:val="0"/>
          <w:sz w:val="28"/>
          <w:szCs w:val="28"/>
        </w:rPr>
        <w:t>11.4加强法治保障</w:t>
      </w:r>
      <w:bookmarkEnd w:id="240"/>
    </w:p>
    <w:p w14:paraId="20186BAF">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以《中华人民共和国水法》、《中华人民共和国防洪法》和《水土保持法》为依据，配套地方法规，不断完善新时期水法规体系框架和涉水建设项目的行政许可体系建设，强化依法治水、依法管水。研究制定和完善水利发展的政策体制框架，制订出台有关水资源管理、水环境保护、农村水利、水利工程建设等方面的政策措施，促进和保障水利发展和改革。</w:t>
      </w:r>
      <w:r>
        <w:rPr>
          <w:rFonts w:cs="Times New Roman"/>
          <w:color w:val="000000" w:themeColor="text1"/>
          <w:kern w:val="0"/>
          <w:sz w:val="28"/>
          <w:szCs w:val="28"/>
          <w14:textFill>
            <w14:solidFill>
              <w14:schemeClr w14:val="tx1"/>
            </w14:solidFill>
          </w14:textFill>
        </w:rPr>
        <w:t>持续优化九原区水法规制度，丰富立法储备项目，不断推进水资源管理、河道管理、节约用水等重点领域法规规章提档升级，为九原区水网建设提供有力法律保障。大力提升水行政执法效能，加强水行政执法队伍建设，以数字赋能优化水行政执法装备，建设水行政执法基地，持续深化落实“四项机制”，会同法院、检察院、公安、司法等部门，不断壮大水行政执法力量。积极创新法治宣传方式，申报创建水法治宣传基地，丰富宣传载体，拓展宣传领域，为九原区水网建设营造浓厚法治氛围。</w:t>
      </w:r>
    </w:p>
    <w:p w14:paraId="08B9F65B">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41" w:name="_Toc198652147"/>
      <w:r>
        <w:rPr>
          <w:rFonts w:ascii="Times New Roman" w:hAnsi="Times New Roman" w:eastAsia="黑体" w:cs="Times New Roman"/>
          <w:b w:val="0"/>
          <w:bCs w:val="0"/>
          <w:kern w:val="0"/>
          <w:sz w:val="28"/>
          <w:szCs w:val="28"/>
        </w:rPr>
        <w:t>11.5加强科技支撑</w:t>
      </w:r>
      <w:bookmarkEnd w:id="241"/>
    </w:p>
    <w:p w14:paraId="46C6A65D">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加强水利科技创新体系建设，增加水利科技投入，加强科学数据和文献效资料共享平台等水利科技基础平台建设。在水资源可持续利用、防洪抗旱减灾、水环境保护、流域治理开发、灌溉工程等领域开展技术科技攻关，加快水利技术成果的推广和转化。</w:t>
      </w:r>
    </w:p>
    <w:p w14:paraId="7A0D5EF1">
      <w:pPr>
        <w:adjustRightInd w:val="0"/>
        <w:ind w:firstLine="560" w:firstLineChars="200"/>
        <w:rPr>
          <w:rFonts w:cs="Times New Roman"/>
          <w:color w:val="000000" w:themeColor="text1"/>
          <w:kern w:val="0"/>
          <w:sz w:val="28"/>
          <w:szCs w:val="28"/>
          <w14:textFill>
            <w14:solidFill>
              <w14:schemeClr w14:val="tx1"/>
            </w14:solidFill>
          </w14:textFill>
        </w:rPr>
      </w:pPr>
      <w:r>
        <w:rPr>
          <w:rFonts w:hint="eastAsia" w:cs="Times New Roman"/>
          <w:color w:val="000000" w:themeColor="text1"/>
          <w:kern w:val="0"/>
          <w:sz w:val="28"/>
          <w:szCs w:val="28"/>
          <w14:textFill>
            <w14:solidFill>
              <w14:schemeClr w14:val="tx1"/>
            </w14:solidFill>
          </w14:textFill>
        </w:rPr>
        <w:t>从九原区的水利现状出发，需从三个方面实施科技创新，保障区域水资源的持续利用，第一方面为管理方面，建设水务信息实时管理系统，建立信息发布制度，培育和发展节水技术服务体系，为企业和其他用水提供节水技术服务；以地下水为主要用水系统，为了掌握地下水动态，为地方经济发展提供决策依据，要全面系统建立地下水动态观测网，完善和规范现有观测点的合理布局，应重点观测集中地区的地下水位变化,随时了解地下水的动态和水质变化情况，以便及时采取防治措施。第二方面为高效实用的节水新技术引进推广，政府及相关职能部门要积极引进和大力推广先进实用的节水工业生产技术、节水农业灌溉技术、非传统水资源开发利用技术。从高新技术改造传统工艺，促进节能降耗，发展循环经济，提高工业用水重复利用率；以节水灌溉技术和农艺节水技术相结合节水措施，提高灌溉水分生产效率和农业用水效率，发展绿色生态农业。在水利建设中广泛推广应用水利新技术、新结构、新工艺、新材料，增加其科技含量。第三方面为水利前期基础研究，尽快完成水资源综合规划编制，开发节水、水价、用水定额、排污定额、水资源承载能力等研究工作，建立水资源实时监控管理系统，为本区域水资源优化配置、高效利用、有效保护提供技术支撑。</w:t>
      </w:r>
    </w:p>
    <w:bookmarkEnd w:id="237"/>
    <w:p w14:paraId="1695BE5C">
      <w:pPr>
        <w:widowControl/>
        <w:adjustRightInd w:val="0"/>
        <w:ind w:firstLine="560" w:firstLineChars="200"/>
        <w:rPr>
          <w:rFonts w:eastAsia="仿宋_GB2312" w:cs="Times New Roman"/>
          <w:sz w:val="28"/>
          <w:szCs w:val="28"/>
        </w:rPr>
      </w:pPr>
    </w:p>
    <w:p w14:paraId="3913AB36">
      <w:pPr>
        <w:widowControl/>
        <w:adjustRightInd w:val="0"/>
        <w:ind w:firstLine="560" w:firstLineChars="200"/>
        <w:rPr>
          <w:rFonts w:eastAsia="仿宋_GB2312" w:cs="Times New Roman"/>
          <w:sz w:val="28"/>
          <w:szCs w:val="28"/>
        </w:rPr>
        <w:sectPr>
          <w:headerReference r:id="rId21" w:type="default"/>
          <w:pgSz w:w="11906" w:h="16838"/>
          <w:pgMar w:top="1440" w:right="1800" w:bottom="1440" w:left="1800" w:header="851" w:footer="992" w:gutter="0"/>
          <w:cols w:space="425" w:num="1"/>
          <w:docGrid w:type="lines" w:linePitch="312" w:charSpace="0"/>
        </w:sectPr>
      </w:pPr>
    </w:p>
    <w:p w14:paraId="52411625">
      <w:pPr>
        <w:pStyle w:val="2"/>
        <w:widowControl/>
        <w:adjustRightInd w:val="0"/>
        <w:spacing w:before="0" w:after="0" w:line="360" w:lineRule="auto"/>
        <w:jc w:val="left"/>
        <w:rPr>
          <w:rFonts w:eastAsia="黑体" w:cs="Times New Roman"/>
          <w:b w:val="0"/>
          <w:bCs w:val="0"/>
          <w:sz w:val="32"/>
          <w:szCs w:val="48"/>
        </w:rPr>
      </w:pPr>
      <w:bookmarkStart w:id="242" w:name="_Toc198652148"/>
      <w:r>
        <w:rPr>
          <w:rFonts w:eastAsia="黑体" w:cs="Times New Roman"/>
          <w:b w:val="0"/>
          <w:bCs w:val="0"/>
          <w:sz w:val="32"/>
          <w:szCs w:val="48"/>
        </w:rPr>
        <w:t>附表</w:t>
      </w:r>
      <w:bookmarkEnd w:id="242"/>
    </w:p>
    <w:p w14:paraId="5B5FDB7F">
      <w:pPr>
        <w:pStyle w:val="3"/>
        <w:widowControl/>
        <w:adjustRightInd w:val="0"/>
        <w:spacing w:before="0" w:after="0" w:line="360" w:lineRule="auto"/>
        <w:jc w:val="center"/>
        <w:rPr>
          <w:rFonts w:ascii="Times New Roman" w:hAnsi="Times New Roman" w:eastAsia="黑体" w:cs="Times New Roman"/>
          <w:b w:val="0"/>
          <w:bCs w:val="0"/>
          <w:color w:val="FF0000"/>
          <w:kern w:val="0"/>
          <w:sz w:val="28"/>
          <w:szCs w:val="28"/>
        </w:rPr>
      </w:pPr>
      <w:bookmarkStart w:id="243" w:name="_Toc198652149"/>
      <w:r>
        <w:rPr>
          <w:rFonts w:ascii="Times New Roman" w:hAnsi="Times New Roman" w:eastAsia="黑体" w:cs="Times New Roman"/>
          <w:b w:val="0"/>
          <w:bCs w:val="0"/>
          <w:kern w:val="0"/>
          <w:sz w:val="28"/>
          <w:szCs w:val="28"/>
        </w:rPr>
        <w:t>附表1  九原区境内主要河流基本情况表</w:t>
      </w:r>
      <w:bookmarkEnd w:id="243"/>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4"/>
        <w:gridCol w:w="984"/>
        <w:gridCol w:w="2106"/>
        <w:gridCol w:w="819"/>
        <w:gridCol w:w="3271"/>
        <w:gridCol w:w="3498"/>
        <w:gridCol w:w="2512"/>
      </w:tblGrid>
      <w:tr w14:paraId="5B697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08990DAE">
            <w:pPr>
              <w:widowControl/>
              <w:adjustRightInd w:val="0"/>
              <w:spacing w:line="240" w:lineRule="auto"/>
              <w:jc w:val="center"/>
              <w:rPr>
                <w:rFonts w:cs="Times New Roman"/>
                <w:color w:val="000000"/>
                <w:kern w:val="0"/>
                <w:szCs w:val="24"/>
              </w:rPr>
            </w:pPr>
            <w:r>
              <w:rPr>
                <w:rFonts w:cs="Times New Roman"/>
                <w:color w:val="000000"/>
                <w:kern w:val="0"/>
                <w:szCs w:val="24"/>
              </w:rPr>
              <w:t>序号</w:t>
            </w:r>
          </w:p>
        </w:tc>
        <w:tc>
          <w:tcPr>
            <w:tcW w:w="0" w:type="auto"/>
            <w:shd w:val="clear" w:color="auto" w:fill="auto"/>
            <w:vAlign w:val="center"/>
          </w:tcPr>
          <w:p w14:paraId="72AE6FB9">
            <w:pPr>
              <w:widowControl/>
              <w:adjustRightInd w:val="0"/>
              <w:spacing w:line="240" w:lineRule="auto"/>
              <w:jc w:val="center"/>
              <w:rPr>
                <w:rFonts w:cs="Times New Roman"/>
                <w:color w:val="000000"/>
                <w:kern w:val="0"/>
                <w:szCs w:val="24"/>
              </w:rPr>
            </w:pPr>
            <w:r>
              <w:rPr>
                <w:rFonts w:cs="Times New Roman"/>
                <w:color w:val="000000"/>
                <w:kern w:val="0"/>
                <w:szCs w:val="24"/>
              </w:rPr>
              <w:t>水系</w:t>
            </w:r>
          </w:p>
        </w:tc>
        <w:tc>
          <w:tcPr>
            <w:tcW w:w="743" w:type="pct"/>
            <w:shd w:val="clear" w:color="auto" w:fill="auto"/>
            <w:vAlign w:val="center"/>
          </w:tcPr>
          <w:p w14:paraId="29011028">
            <w:pPr>
              <w:widowControl/>
              <w:adjustRightInd w:val="0"/>
              <w:spacing w:line="240" w:lineRule="auto"/>
              <w:jc w:val="center"/>
              <w:rPr>
                <w:rFonts w:cs="Times New Roman"/>
                <w:color w:val="000000"/>
                <w:kern w:val="0"/>
                <w:szCs w:val="24"/>
              </w:rPr>
            </w:pPr>
            <w:r>
              <w:rPr>
                <w:rFonts w:cs="Times New Roman"/>
                <w:color w:val="000000"/>
                <w:kern w:val="0"/>
                <w:szCs w:val="24"/>
              </w:rPr>
              <w:t>河流</w:t>
            </w:r>
          </w:p>
        </w:tc>
        <w:tc>
          <w:tcPr>
            <w:tcW w:w="289" w:type="pct"/>
            <w:shd w:val="clear" w:color="auto" w:fill="auto"/>
            <w:vAlign w:val="center"/>
          </w:tcPr>
          <w:p w14:paraId="28D5A36D">
            <w:pPr>
              <w:widowControl/>
              <w:adjustRightInd w:val="0"/>
              <w:spacing w:line="240" w:lineRule="auto"/>
              <w:jc w:val="center"/>
              <w:rPr>
                <w:rFonts w:cs="Times New Roman"/>
                <w:color w:val="000000"/>
                <w:kern w:val="0"/>
                <w:szCs w:val="24"/>
              </w:rPr>
            </w:pPr>
            <w:r>
              <w:rPr>
                <w:rFonts w:cs="Times New Roman"/>
                <w:color w:val="000000"/>
                <w:kern w:val="0"/>
                <w:szCs w:val="24"/>
              </w:rPr>
              <w:t>级别</w:t>
            </w:r>
          </w:p>
        </w:tc>
        <w:tc>
          <w:tcPr>
            <w:tcW w:w="1154" w:type="pct"/>
            <w:shd w:val="clear" w:color="auto" w:fill="auto"/>
            <w:vAlign w:val="center"/>
          </w:tcPr>
          <w:p w14:paraId="26EB5EB9">
            <w:pPr>
              <w:widowControl/>
              <w:adjustRightInd w:val="0"/>
              <w:spacing w:line="240" w:lineRule="auto"/>
              <w:jc w:val="center"/>
              <w:rPr>
                <w:rFonts w:cs="Times New Roman"/>
                <w:color w:val="000000"/>
                <w:kern w:val="0"/>
                <w:szCs w:val="24"/>
              </w:rPr>
            </w:pPr>
            <w:r>
              <w:rPr>
                <w:rFonts w:cs="Times New Roman"/>
                <w:color w:val="000000"/>
                <w:kern w:val="0"/>
                <w:szCs w:val="24"/>
              </w:rPr>
              <w:t>流域面积或沟长（km</w:t>
            </w:r>
            <w:r>
              <w:rPr>
                <w:rFonts w:cs="Times New Roman"/>
                <w:color w:val="000000"/>
                <w:kern w:val="0"/>
                <w:szCs w:val="24"/>
                <w:vertAlign w:val="superscript"/>
              </w:rPr>
              <w:t>2</w:t>
            </w:r>
            <w:r>
              <w:rPr>
                <w:rFonts w:cs="Times New Roman"/>
                <w:color w:val="000000"/>
                <w:kern w:val="0"/>
                <w:szCs w:val="24"/>
              </w:rPr>
              <w:t>/km）</w:t>
            </w:r>
          </w:p>
        </w:tc>
        <w:tc>
          <w:tcPr>
            <w:tcW w:w="1234" w:type="pct"/>
            <w:shd w:val="clear" w:color="auto" w:fill="auto"/>
            <w:vAlign w:val="center"/>
          </w:tcPr>
          <w:p w14:paraId="2E9D95AE">
            <w:pPr>
              <w:widowControl/>
              <w:adjustRightInd w:val="0"/>
              <w:spacing w:line="240" w:lineRule="auto"/>
              <w:jc w:val="center"/>
              <w:rPr>
                <w:rFonts w:cs="Times New Roman"/>
                <w:color w:val="000000"/>
                <w:kern w:val="0"/>
                <w:szCs w:val="24"/>
              </w:rPr>
            </w:pPr>
            <w:r>
              <w:rPr>
                <w:rFonts w:cs="Times New Roman"/>
                <w:color w:val="000000"/>
                <w:kern w:val="0"/>
                <w:szCs w:val="24"/>
              </w:rPr>
              <w:t>发源地或入境地点</w:t>
            </w:r>
          </w:p>
        </w:tc>
        <w:tc>
          <w:tcPr>
            <w:tcW w:w="886" w:type="pct"/>
            <w:shd w:val="clear" w:color="auto" w:fill="auto"/>
            <w:vAlign w:val="center"/>
          </w:tcPr>
          <w:p w14:paraId="6E841012">
            <w:pPr>
              <w:widowControl/>
              <w:adjustRightInd w:val="0"/>
              <w:spacing w:line="240" w:lineRule="auto"/>
              <w:jc w:val="center"/>
              <w:rPr>
                <w:rFonts w:cs="Times New Roman"/>
                <w:color w:val="000000"/>
                <w:kern w:val="0"/>
                <w:szCs w:val="24"/>
              </w:rPr>
            </w:pPr>
            <w:r>
              <w:rPr>
                <w:rFonts w:cs="Times New Roman"/>
                <w:color w:val="000000"/>
                <w:kern w:val="0"/>
                <w:szCs w:val="24"/>
              </w:rPr>
              <w:t>出境地点或汇入河流</w:t>
            </w:r>
          </w:p>
        </w:tc>
      </w:tr>
      <w:tr w14:paraId="38ECE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3773FA8E">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0" w:type="auto"/>
            <w:shd w:val="clear" w:color="auto" w:fill="auto"/>
            <w:vAlign w:val="center"/>
          </w:tcPr>
          <w:p w14:paraId="775FF884">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37CDE57A">
            <w:pPr>
              <w:widowControl/>
              <w:adjustRightInd w:val="0"/>
              <w:spacing w:line="240" w:lineRule="auto"/>
              <w:jc w:val="center"/>
              <w:rPr>
                <w:rFonts w:cs="Times New Roman"/>
                <w:color w:val="000000"/>
                <w:kern w:val="0"/>
                <w:szCs w:val="24"/>
              </w:rPr>
            </w:pPr>
            <w:r>
              <w:rPr>
                <w:rFonts w:cs="Times New Roman"/>
                <w:color w:val="000000"/>
                <w:kern w:val="0"/>
                <w:szCs w:val="24"/>
              </w:rPr>
              <w:t>黄河九原段</w:t>
            </w:r>
          </w:p>
        </w:tc>
        <w:tc>
          <w:tcPr>
            <w:tcW w:w="289" w:type="pct"/>
            <w:shd w:val="clear" w:color="auto" w:fill="auto"/>
            <w:vAlign w:val="center"/>
          </w:tcPr>
          <w:p w14:paraId="70E9472B">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1154" w:type="pct"/>
            <w:shd w:val="clear" w:color="auto" w:fill="auto"/>
            <w:vAlign w:val="center"/>
          </w:tcPr>
          <w:p w14:paraId="405C3242">
            <w:pPr>
              <w:widowControl/>
              <w:adjustRightInd w:val="0"/>
              <w:spacing w:line="240" w:lineRule="auto"/>
              <w:jc w:val="center"/>
              <w:rPr>
                <w:rFonts w:cs="Times New Roman"/>
                <w:color w:val="000000"/>
                <w:kern w:val="0"/>
                <w:szCs w:val="24"/>
              </w:rPr>
            </w:pPr>
            <w:r>
              <w:rPr>
                <w:rFonts w:cs="Times New Roman"/>
                <w:color w:val="000000"/>
                <w:kern w:val="0"/>
                <w:szCs w:val="24"/>
              </w:rPr>
              <w:t>8579.44km</w:t>
            </w:r>
            <w:r>
              <w:rPr>
                <w:rFonts w:cs="Times New Roman"/>
                <w:color w:val="000000"/>
                <w:kern w:val="0"/>
                <w:szCs w:val="24"/>
                <w:vertAlign w:val="superscript"/>
              </w:rPr>
              <w:t>2</w:t>
            </w:r>
          </w:p>
        </w:tc>
        <w:tc>
          <w:tcPr>
            <w:tcW w:w="1234" w:type="pct"/>
            <w:shd w:val="clear" w:color="auto" w:fill="auto"/>
            <w:vAlign w:val="center"/>
          </w:tcPr>
          <w:p w14:paraId="2C00EEB6">
            <w:pPr>
              <w:widowControl/>
              <w:adjustRightInd w:val="0"/>
              <w:spacing w:line="240" w:lineRule="auto"/>
              <w:jc w:val="center"/>
              <w:rPr>
                <w:rFonts w:cs="Times New Roman"/>
                <w:color w:val="000000"/>
                <w:kern w:val="0"/>
                <w:szCs w:val="24"/>
              </w:rPr>
            </w:pPr>
            <w:r>
              <w:rPr>
                <w:rFonts w:cs="Times New Roman"/>
                <w:color w:val="000000"/>
                <w:kern w:val="0"/>
                <w:szCs w:val="24"/>
              </w:rPr>
              <w:t>九原区哈业胡同镇打不素村</w:t>
            </w:r>
          </w:p>
        </w:tc>
        <w:tc>
          <w:tcPr>
            <w:tcW w:w="886" w:type="pct"/>
            <w:shd w:val="clear" w:color="auto" w:fill="auto"/>
            <w:vAlign w:val="center"/>
          </w:tcPr>
          <w:p w14:paraId="3AD282B3">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297E2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78035933">
            <w:pPr>
              <w:widowControl/>
              <w:adjustRightInd w:val="0"/>
              <w:spacing w:line="240" w:lineRule="auto"/>
              <w:jc w:val="center"/>
              <w:rPr>
                <w:rFonts w:cs="Times New Roman"/>
                <w:color w:val="000000"/>
                <w:kern w:val="0"/>
                <w:szCs w:val="24"/>
              </w:rPr>
            </w:pPr>
            <w:r>
              <w:rPr>
                <w:rFonts w:cs="Times New Roman"/>
                <w:color w:val="000000"/>
                <w:kern w:val="0"/>
                <w:szCs w:val="24"/>
              </w:rPr>
              <w:t>2</w:t>
            </w:r>
          </w:p>
        </w:tc>
        <w:tc>
          <w:tcPr>
            <w:tcW w:w="0" w:type="auto"/>
            <w:shd w:val="clear" w:color="auto" w:fill="auto"/>
            <w:vAlign w:val="center"/>
          </w:tcPr>
          <w:p w14:paraId="3381FF33">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1D28232B">
            <w:pPr>
              <w:widowControl/>
              <w:adjustRightInd w:val="0"/>
              <w:spacing w:line="240" w:lineRule="auto"/>
              <w:jc w:val="center"/>
              <w:rPr>
                <w:rFonts w:cs="Times New Roman"/>
                <w:color w:val="000000"/>
                <w:kern w:val="0"/>
                <w:szCs w:val="24"/>
              </w:rPr>
            </w:pPr>
            <w:r>
              <w:rPr>
                <w:rFonts w:cs="Times New Roman"/>
                <w:color w:val="000000"/>
                <w:kern w:val="0"/>
                <w:szCs w:val="24"/>
              </w:rPr>
              <w:t>哈德门沟</w:t>
            </w:r>
          </w:p>
        </w:tc>
        <w:tc>
          <w:tcPr>
            <w:tcW w:w="289" w:type="pct"/>
            <w:shd w:val="clear" w:color="auto" w:fill="auto"/>
            <w:vAlign w:val="center"/>
          </w:tcPr>
          <w:p w14:paraId="27D9E1B8">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1154" w:type="pct"/>
            <w:shd w:val="clear" w:color="auto" w:fill="auto"/>
            <w:vAlign w:val="center"/>
          </w:tcPr>
          <w:p w14:paraId="6CB5130D">
            <w:pPr>
              <w:widowControl/>
              <w:adjustRightInd w:val="0"/>
              <w:spacing w:line="240" w:lineRule="auto"/>
              <w:jc w:val="center"/>
              <w:rPr>
                <w:rFonts w:cs="Times New Roman"/>
                <w:color w:val="000000"/>
                <w:kern w:val="0"/>
                <w:szCs w:val="24"/>
              </w:rPr>
            </w:pPr>
            <w:r>
              <w:rPr>
                <w:rFonts w:cs="Times New Roman"/>
                <w:color w:val="000000"/>
                <w:kern w:val="0"/>
                <w:szCs w:val="24"/>
              </w:rPr>
              <w:t>138.34km</w:t>
            </w:r>
            <w:r>
              <w:rPr>
                <w:rFonts w:cs="Times New Roman"/>
                <w:color w:val="000000"/>
                <w:kern w:val="0"/>
                <w:szCs w:val="24"/>
                <w:vertAlign w:val="superscript"/>
              </w:rPr>
              <w:t>2</w:t>
            </w:r>
          </w:p>
        </w:tc>
        <w:tc>
          <w:tcPr>
            <w:tcW w:w="1234" w:type="pct"/>
            <w:shd w:val="clear" w:color="auto" w:fill="auto"/>
            <w:vAlign w:val="center"/>
          </w:tcPr>
          <w:p w14:paraId="79A8D74D">
            <w:pPr>
              <w:widowControl/>
              <w:adjustRightInd w:val="0"/>
              <w:spacing w:line="240" w:lineRule="auto"/>
              <w:jc w:val="center"/>
              <w:rPr>
                <w:rFonts w:cs="Times New Roman"/>
                <w:color w:val="000000"/>
                <w:kern w:val="0"/>
                <w:szCs w:val="24"/>
              </w:rPr>
            </w:pPr>
            <w:r>
              <w:rPr>
                <w:rFonts w:cs="Times New Roman"/>
                <w:color w:val="000000"/>
                <w:kern w:val="0"/>
                <w:szCs w:val="24"/>
              </w:rPr>
              <w:t>乌拉山召庙沟口以上</w:t>
            </w:r>
          </w:p>
        </w:tc>
        <w:tc>
          <w:tcPr>
            <w:tcW w:w="886" w:type="pct"/>
            <w:shd w:val="clear" w:color="auto" w:fill="auto"/>
            <w:vAlign w:val="center"/>
          </w:tcPr>
          <w:p w14:paraId="5D588F4B">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15D05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67A58E00">
            <w:pPr>
              <w:widowControl/>
              <w:adjustRightInd w:val="0"/>
              <w:spacing w:line="240" w:lineRule="auto"/>
              <w:jc w:val="center"/>
              <w:rPr>
                <w:rFonts w:cs="Times New Roman"/>
                <w:color w:val="000000"/>
                <w:kern w:val="0"/>
                <w:szCs w:val="24"/>
              </w:rPr>
            </w:pPr>
            <w:r>
              <w:rPr>
                <w:rFonts w:cs="Times New Roman"/>
                <w:color w:val="000000"/>
                <w:kern w:val="0"/>
                <w:szCs w:val="24"/>
              </w:rPr>
              <w:t>3</w:t>
            </w:r>
          </w:p>
        </w:tc>
        <w:tc>
          <w:tcPr>
            <w:tcW w:w="0" w:type="auto"/>
            <w:shd w:val="clear" w:color="auto" w:fill="auto"/>
            <w:vAlign w:val="center"/>
          </w:tcPr>
          <w:p w14:paraId="55458C29">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681EEBE4">
            <w:pPr>
              <w:widowControl/>
              <w:adjustRightInd w:val="0"/>
              <w:spacing w:line="240" w:lineRule="auto"/>
              <w:jc w:val="center"/>
              <w:rPr>
                <w:rFonts w:cs="Times New Roman"/>
                <w:color w:val="000000"/>
                <w:kern w:val="0"/>
                <w:szCs w:val="24"/>
              </w:rPr>
            </w:pPr>
            <w:r>
              <w:rPr>
                <w:rFonts w:cs="Times New Roman"/>
                <w:color w:val="000000"/>
                <w:kern w:val="0"/>
                <w:szCs w:val="24"/>
              </w:rPr>
              <w:t>梅力更沟</w:t>
            </w:r>
          </w:p>
        </w:tc>
        <w:tc>
          <w:tcPr>
            <w:tcW w:w="289" w:type="pct"/>
            <w:shd w:val="clear" w:color="auto" w:fill="auto"/>
            <w:vAlign w:val="center"/>
          </w:tcPr>
          <w:p w14:paraId="054C725B">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1154" w:type="pct"/>
            <w:shd w:val="clear" w:color="auto" w:fill="auto"/>
            <w:vAlign w:val="center"/>
          </w:tcPr>
          <w:p w14:paraId="60CBCF72">
            <w:pPr>
              <w:widowControl/>
              <w:adjustRightInd w:val="0"/>
              <w:spacing w:line="240" w:lineRule="auto"/>
              <w:jc w:val="center"/>
              <w:rPr>
                <w:rFonts w:cs="Times New Roman"/>
                <w:color w:val="000000"/>
                <w:kern w:val="0"/>
                <w:szCs w:val="24"/>
              </w:rPr>
            </w:pPr>
            <w:r>
              <w:rPr>
                <w:rFonts w:cs="Times New Roman"/>
                <w:color w:val="000000"/>
                <w:kern w:val="0"/>
                <w:szCs w:val="24"/>
              </w:rPr>
              <w:t>39.5km</w:t>
            </w:r>
          </w:p>
        </w:tc>
        <w:tc>
          <w:tcPr>
            <w:tcW w:w="1234" w:type="pct"/>
            <w:shd w:val="clear" w:color="auto" w:fill="auto"/>
            <w:vAlign w:val="center"/>
          </w:tcPr>
          <w:p w14:paraId="05E21FB6">
            <w:pPr>
              <w:widowControl/>
              <w:adjustRightInd w:val="0"/>
              <w:spacing w:line="240" w:lineRule="auto"/>
              <w:jc w:val="center"/>
              <w:rPr>
                <w:rFonts w:cs="Times New Roman"/>
                <w:color w:val="000000"/>
                <w:kern w:val="0"/>
                <w:szCs w:val="24"/>
              </w:rPr>
            </w:pPr>
            <w:r>
              <w:rPr>
                <w:rFonts w:cs="Times New Roman"/>
                <w:color w:val="000000"/>
                <w:kern w:val="0"/>
                <w:szCs w:val="24"/>
              </w:rPr>
              <w:t>乌拉山石大坝</w:t>
            </w:r>
          </w:p>
        </w:tc>
        <w:tc>
          <w:tcPr>
            <w:tcW w:w="886" w:type="pct"/>
            <w:shd w:val="clear" w:color="auto" w:fill="auto"/>
            <w:vAlign w:val="center"/>
          </w:tcPr>
          <w:p w14:paraId="4EE72DAE">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4E137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75CB07F9">
            <w:pPr>
              <w:widowControl/>
              <w:adjustRightInd w:val="0"/>
              <w:spacing w:line="240" w:lineRule="auto"/>
              <w:jc w:val="center"/>
              <w:rPr>
                <w:rFonts w:cs="Times New Roman"/>
                <w:color w:val="000000"/>
                <w:kern w:val="0"/>
                <w:szCs w:val="24"/>
              </w:rPr>
            </w:pPr>
            <w:r>
              <w:rPr>
                <w:rFonts w:cs="Times New Roman"/>
                <w:color w:val="000000"/>
                <w:kern w:val="0"/>
                <w:szCs w:val="24"/>
              </w:rPr>
              <w:t>4</w:t>
            </w:r>
          </w:p>
        </w:tc>
        <w:tc>
          <w:tcPr>
            <w:tcW w:w="0" w:type="auto"/>
            <w:shd w:val="clear" w:color="auto" w:fill="auto"/>
            <w:vAlign w:val="center"/>
          </w:tcPr>
          <w:p w14:paraId="08FDD239">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0C768471">
            <w:pPr>
              <w:widowControl/>
              <w:adjustRightInd w:val="0"/>
              <w:spacing w:line="240" w:lineRule="auto"/>
              <w:jc w:val="center"/>
              <w:rPr>
                <w:rFonts w:cs="Times New Roman"/>
                <w:color w:val="000000"/>
                <w:kern w:val="0"/>
                <w:szCs w:val="24"/>
              </w:rPr>
            </w:pPr>
            <w:r>
              <w:rPr>
                <w:rFonts w:cs="Times New Roman"/>
                <w:color w:val="000000"/>
                <w:kern w:val="0"/>
                <w:szCs w:val="24"/>
              </w:rPr>
              <w:t>二道沙河</w:t>
            </w:r>
          </w:p>
        </w:tc>
        <w:tc>
          <w:tcPr>
            <w:tcW w:w="289" w:type="pct"/>
            <w:shd w:val="clear" w:color="auto" w:fill="auto"/>
            <w:vAlign w:val="center"/>
          </w:tcPr>
          <w:p w14:paraId="39C38B37">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1154" w:type="pct"/>
            <w:shd w:val="clear" w:color="auto" w:fill="auto"/>
            <w:vAlign w:val="center"/>
          </w:tcPr>
          <w:p w14:paraId="1DC07E3F">
            <w:pPr>
              <w:widowControl/>
              <w:adjustRightInd w:val="0"/>
              <w:spacing w:line="240" w:lineRule="auto"/>
              <w:jc w:val="center"/>
              <w:rPr>
                <w:rFonts w:cs="Times New Roman"/>
                <w:color w:val="000000"/>
                <w:kern w:val="0"/>
                <w:szCs w:val="24"/>
              </w:rPr>
            </w:pPr>
            <w:r>
              <w:rPr>
                <w:rFonts w:cs="Times New Roman"/>
                <w:color w:val="000000"/>
                <w:kern w:val="0"/>
                <w:szCs w:val="24"/>
              </w:rPr>
              <w:t>69.77km</w:t>
            </w:r>
          </w:p>
        </w:tc>
        <w:tc>
          <w:tcPr>
            <w:tcW w:w="1234" w:type="pct"/>
            <w:shd w:val="clear" w:color="auto" w:fill="auto"/>
            <w:vAlign w:val="center"/>
          </w:tcPr>
          <w:p w14:paraId="7CB7F260">
            <w:pPr>
              <w:widowControl/>
              <w:adjustRightInd w:val="0"/>
              <w:spacing w:line="240" w:lineRule="auto"/>
              <w:jc w:val="center"/>
              <w:rPr>
                <w:rFonts w:cs="Times New Roman"/>
                <w:color w:val="000000"/>
                <w:kern w:val="0"/>
                <w:szCs w:val="24"/>
              </w:rPr>
            </w:pPr>
            <w:r>
              <w:rPr>
                <w:rFonts w:cs="Times New Roman"/>
                <w:color w:val="000000"/>
                <w:kern w:val="0"/>
                <w:szCs w:val="24"/>
              </w:rPr>
              <w:t>九原区乌兰胡同</w:t>
            </w:r>
          </w:p>
        </w:tc>
        <w:tc>
          <w:tcPr>
            <w:tcW w:w="886" w:type="pct"/>
            <w:shd w:val="clear" w:color="auto" w:fill="auto"/>
            <w:vAlign w:val="center"/>
          </w:tcPr>
          <w:p w14:paraId="37DA559F">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3493C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5C6CDCFB">
            <w:pPr>
              <w:widowControl/>
              <w:adjustRightInd w:val="0"/>
              <w:spacing w:line="240" w:lineRule="auto"/>
              <w:jc w:val="center"/>
              <w:rPr>
                <w:rFonts w:cs="Times New Roman"/>
                <w:color w:val="000000"/>
                <w:kern w:val="0"/>
                <w:szCs w:val="24"/>
              </w:rPr>
            </w:pPr>
            <w:r>
              <w:rPr>
                <w:rFonts w:cs="Times New Roman"/>
                <w:color w:val="000000"/>
                <w:kern w:val="0"/>
                <w:szCs w:val="24"/>
              </w:rPr>
              <w:t>5</w:t>
            </w:r>
          </w:p>
        </w:tc>
        <w:tc>
          <w:tcPr>
            <w:tcW w:w="0" w:type="auto"/>
            <w:shd w:val="clear" w:color="auto" w:fill="auto"/>
            <w:vAlign w:val="center"/>
          </w:tcPr>
          <w:p w14:paraId="57667DFF">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11FC804C">
            <w:pPr>
              <w:widowControl/>
              <w:adjustRightInd w:val="0"/>
              <w:spacing w:line="240" w:lineRule="auto"/>
              <w:jc w:val="center"/>
              <w:rPr>
                <w:rFonts w:cs="Times New Roman"/>
                <w:color w:val="000000"/>
                <w:kern w:val="0"/>
                <w:szCs w:val="24"/>
              </w:rPr>
            </w:pPr>
            <w:r>
              <w:rPr>
                <w:rFonts w:cs="Times New Roman"/>
                <w:color w:val="000000"/>
                <w:kern w:val="0"/>
                <w:szCs w:val="24"/>
              </w:rPr>
              <w:t>昆都仑河</w:t>
            </w:r>
          </w:p>
        </w:tc>
        <w:tc>
          <w:tcPr>
            <w:tcW w:w="289" w:type="pct"/>
            <w:shd w:val="clear" w:color="auto" w:fill="auto"/>
            <w:vAlign w:val="center"/>
          </w:tcPr>
          <w:p w14:paraId="1ED2A33A">
            <w:pPr>
              <w:widowControl/>
              <w:adjustRightInd w:val="0"/>
              <w:spacing w:line="240" w:lineRule="auto"/>
              <w:jc w:val="center"/>
              <w:rPr>
                <w:rFonts w:cs="Times New Roman"/>
                <w:color w:val="000000"/>
                <w:kern w:val="0"/>
                <w:szCs w:val="24"/>
              </w:rPr>
            </w:pPr>
            <w:r>
              <w:rPr>
                <w:rFonts w:cs="Times New Roman"/>
                <w:color w:val="000000"/>
                <w:kern w:val="0"/>
                <w:szCs w:val="24"/>
              </w:rPr>
              <w:t>1</w:t>
            </w:r>
          </w:p>
        </w:tc>
        <w:tc>
          <w:tcPr>
            <w:tcW w:w="1154" w:type="pct"/>
            <w:shd w:val="clear" w:color="auto" w:fill="auto"/>
            <w:vAlign w:val="center"/>
          </w:tcPr>
          <w:p w14:paraId="11CCA3B7">
            <w:pPr>
              <w:widowControl/>
              <w:adjustRightInd w:val="0"/>
              <w:spacing w:line="240" w:lineRule="auto"/>
              <w:jc w:val="center"/>
              <w:rPr>
                <w:rFonts w:cs="Times New Roman"/>
                <w:color w:val="000000"/>
                <w:kern w:val="0"/>
                <w:szCs w:val="24"/>
              </w:rPr>
            </w:pPr>
            <w:r>
              <w:rPr>
                <w:rFonts w:cs="Times New Roman"/>
                <w:color w:val="000000"/>
                <w:kern w:val="0"/>
                <w:szCs w:val="24"/>
              </w:rPr>
              <w:t>74km</w:t>
            </w:r>
          </w:p>
        </w:tc>
        <w:tc>
          <w:tcPr>
            <w:tcW w:w="1234" w:type="pct"/>
            <w:shd w:val="clear" w:color="auto" w:fill="auto"/>
            <w:vAlign w:val="center"/>
          </w:tcPr>
          <w:p w14:paraId="72B16D6F">
            <w:pPr>
              <w:widowControl/>
              <w:adjustRightInd w:val="0"/>
              <w:spacing w:line="240" w:lineRule="auto"/>
              <w:jc w:val="center"/>
              <w:rPr>
                <w:rFonts w:cs="Times New Roman"/>
                <w:color w:val="000000"/>
                <w:kern w:val="0"/>
                <w:szCs w:val="24"/>
              </w:rPr>
            </w:pPr>
            <w:r>
              <w:rPr>
                <w:rFonts w:cs="Times New Roman"/>
                <w:color w:val="000000"/>
                <w:kern w:val="0"/>
                <w:szCs w:val="24"/>
              </w:rPr>
              <w:t>包兰铁路与稀土高新区交界处</w:t>
            </w:r>
          </w:p>
        </w:tc>
        <w:tc>
          <w:tcPr>
            <w:tcW w:w="886" w:type="pct"/>
            <w:shd w:val="clear" w:color="auto" w:fill="auto"/>
            <w:vAlign w:val="center"/>
          </w:tcPr>
          <w:p w14:paraId="1BC01FE1">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25B44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0C2CA889">
            <w:pPr>
              <w:widowControl/>
              <w:adjustRightInd w:val="0"/>
              <w:spacing w:line="240" w:lineRule="auto"/>
              <w:jc w:val="center"/>
              <w:rPr>
                <w:rFonts w:cs="Times New Roman"/>
                <w:color w:val="000000"/>
                <w:kern w:val="0"/>
                <w:szCs w:val="24"/>
              </w:rPr>
            </w:pPr>
            <w:r>
              <w:rPr>
                <w:rFonts w:hint="eastAsia" w:cs="Times New Roman"/>
                <w:color w:val="000000"/>
                <w:kern w:val="0"/>
                <w:szCs w:val="24"/>
              </w:rPr>
              <w:t>6</w:t>
            </w:r>
          </w:p>
        </w:tc>
        <w:tc>
          <w:tcPr>
            <w:tcW w:w="0" w:type="auto"/>
            <w:shd w:val="clear" w:color="auto" w:fill="auto"/>
            <w:vAlign w:val="center"/>
          </w:tcPr>
          <w:p w14:paraId="284A3F20">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436480AC">
            <w:pPr>
              <w:widowControl/>
              <w:adjustRightInd w:val="0"/>
              <w:spacing w:line="240" w:lineRule="auto"/>
              <w:jc w:val="center"/>
              <w:rPr>
                <w:rFonts w:cs="Times New Roman"/>
                <w:color w:val="000000"/>
                <w:kern w:val="0"/>
                <w:szCs w:val="24"/>
              </w:rPr>
            </w:pPr>
            <w:r>
              <w:rPr>
                <w:rFonts w:hint="eastAsia" w:cs="Times New Roman"/>
                <w:color w:val="000000"/>
                <w:kern w:val="0"/>
                <w:szCs w:val="24"/>
              </w:rPr>
              <w:t>四道沙河</w:t>
            </w:r>
          </w:p>
        </w:tc>
        <w:tc>
          <w:tcPr>
            <w:tcW w:w="289" w:type="pct"/>
            <w:shd w:val="clear" w:color="auto" w:fill="auto"/>
            <w:vAlign w:val="center"/>
          </w:tcPr>
          <w:p w14:paraId="01A91C5B">
            <w:pPr>
              <w:widowControl/>
              <w:adjustRightInd w:val="0"/>
              <w:spacing w:line="240" w:lineRule="auto"/>
              <w:jc w:val="center"/>
              <w:rPr>
                <w:rFonts w:cs="Times New Roman"/>
                <w:color w:val="000000"/>
                <w:kern w:val="0"/>
                <w:szCs w:val="24"/>
              </w:rPr>
            </w:pPr>
            <w:r>
              <w:rPr>
                <w:rFonts w:hint="eastAsia" w:cs="Times New Roman"/>
                <w:color w:val="000000"/>
                <w:kern w:val="0"/>
                <w:szCs w:val="24"/>
              </w:rPr>
              <w:t>1</w:t>
            </w:r>
          </w:p>
        </w:tc>
        <w:tc>
          <w:tcPr>
            <w:tcW w:w="1154" w:type="pct"/>
            <w:shd w:val="clear" w:color="auto" w:fill="auto"/>
            <w:vAlign w:val="center"/>
          </w:tcPr>
          <w:p w14:paraId="4FB188AE">
            <w:pPr>
              <w:widowControl/>
              <w:adjustRightInd w:val="0"/>
              <w:spacing w:line="240" w:lineRule="auto"/>
              <w:jc w:val="center"/>
              <w:rPr>
                <w:rFonts w:cs="Times New Roman"/>
                <w:color w:val="000000"/>
                <w:kern w:val="0"/>
                <w:szCs w:val="24"/>
              </w:rPr>
            </w:pPr>
            <w:r>
              <w:rPr>
                <w:rFonts w:hint="eastAsia" w:cs="Times New Roman"/>
                <w:color w:val="000000"/>
                <w:kern w:val="0"/>
                <w:szCs w:val="24"/>
              </w:rPr>
              <w:t>45.8</w:t>
            </w:r>
            <w:r>
              <w:rPr>
                <w:rFonts w:cs="Times New Roman"/>
                <w:color w:val="000000"/>
                <w:kern w:val="0"/>
                <w:szCs w:val="24"/>
              </w:rPr>
              <w:t>km</w:t>
            </w:r>
          </w:p>
        </w:tc>
        <w:tc>
          <w:tcPr>
            <w:tcW w:w="1234" w:type="pct"/>
            <w:shd w:val="clear" w:color="auto" w:fill="auto"/>
            <w:vAlign w:val="center"/>
          </w:tcPr>
          <w:p w14:paraId="68D548D6">
            <w:pPr>
              <w:widowControl/>
              <w:adjustRightInd w:val="0"/>
              <w:spacing w:line="240" w:lineRule="auto"/>
              <w:jc w:val="center"/>
              <w:rPr>
                <w:rFonts w:cs="Times New Roman"/>
                <w:color w:val="000000"/>
                <w:kern w:val="0"/>
                <w:szCs w:val="24"/>
              </w:rPr>
            </w:pPr>
            <w:r>
              <w:rPr>
                <w:rFonts w:hint="eastAsia" w:cs="Times New Roman"/>
                <w:color w:val="000000"/>
                <w:kern w:val="0"/>
                <w:szCs w:val="24"/>
              </w:rPr>
              <w:t>哈屯高勒路-京包铁路</w:t>
            </w:r>
          </w:p>
        </w:tc>
        <w:tc>
          <w:tcPr>
            <w:tcW w:w="886" w:type="pct"/>
            <w:shd w:val="clear" w:color="auto" w:fill="auto"/>
            <w:vAlign w:val="center"/>
          </w:tcPr>
          <w:p w14:paraId="595825F0">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r>
      <w:tr w14:paraId="097CF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68CA276C">
            <w:pPr>
              <w:widowControl/>
              <w:adjustRightInd w:val="0"/>
              <w:spacing w:line="240" w:lineRule="auto"/>
              <w:jc w:val="center"/>
              <w:rPr>
                <w:rFonts w:cs="Times New Roman"/>
                <w:color w:val="000000"/>
                <w:kern w:val="0"/>
                <w:szCs w:val="24"/>
              </w:rPr>
            </w:pPr>
            <w:r>
              <w:rPr>
                <w:rFonts w:hint="eastAsia" w:cs="Times New Roman"/>
                <w:color w:val="000000"/>
                <w:kern w:val="0"/>
                <w:szCs w:val="24"/>
              </w:rPr>
              <w:t>7</w:t>
            </w:r>
          </w:p>
        </w:tc>
        <w:tc>
          <w:tcPr>
            <w:tcW w:w="0" w:type="auto"/>
            <w:shd w:val="clear" w:color="auto" w:fill="auto"/>
            <w:vAlign w:val="center"/>
          </w:tcPr>
          <w:p w14:paraId="2E574861">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65808B86">
            <w:pPr>
              <w:widowControl/>
              <w:adjustRightInd w:val="0"/>
              <w:spacing w:line="240" w:lineRule="auto"/>
              <w:jc w:val="center"/>
              <w:rPr>
                <w:rFonts w:cs="Times New Roman"/>
                <w:color w:val="000000"/>
                <w:kern w:val="0"/>
                <w:szCs w:val="24"/>
              </w:rPr>
            </w:pPr>
            <w:r>
              <w:rPr>
                <w:rFonts w:hint="eastAsia" w:cs="Times New Roman"/>
                <w:color w:val="000000"/>
                <w:kern w:val="0"/>
                <w:szCs w:val="24"/>
              </w:rPr>
              <w:t>阿贵沟</w:t>
            </w:r>
          </w:p>
        </w:tc>
        <w:tc>
          <w:tcPr>
            <w:tcW w:w="289" w:type="pct"/>
            <w:shd w:val="clear" w:color="auto" w:fill="auto"/>
            <w:vAlign w:val="center"/>
          </w:tcPr>
          <w:p w14:paraId="0F758F2A">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2C01FEEC">
            <w:pPr>
              <w:widowControl/>
              <w:adjustRightInd w:val="0"/>
              <w:spacing w:line="240" w:lineRule="auto"/>
              <w:jc w:val="center"/>
              <w:rPr>
                <w:rFonts w:cs="Times New Roman"/>
                <w:color w:val="000000"/>
                <w:kern w:val="0"/>
                <w:szCs w:val="24"/>
              </w:rPr>
            </w:pPr>
            <w:r>
              <w:rPr>
                <w:rFonts w:hint="eastAsia" w:cs="Times New Roman"/>
                <w:color w:val="000000"/>
                <w:kern w:val="0"/>
                <w:szCs w:val="24"/>
              </w:rPr>
              <w:t>3.9</w:t>
            </w:r>
            <w:r>
              <w:rPr>
                <w:rFonts w:cs="Times New Roman"/>
                <w:color w:val="000000"/>
                <w:kern w:val="0"/>
                <w:szCs w:val="24"/>
              </w:rPr>
              <w:t>km</w:t>
            </w:r>
          </w:p>
        </w:tc>
        <w:tc>
          <w:tcPr>
            <w:tcW w:w="1234" w:type="pct"/>
            <w:shd w:val="clear" w:color="auto" w:fill="auto"/>
            <w:vAlign w:val="center"/>
          </w:tcPr>
          <w:p w14:paraId="639D7435">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2A7FF23E">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57CE9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15B31B48">
            <w:pPr>
              <w:widowControl/>
              <w:adjustRightInd w:val="0"/>
              <w:spacing w:line="240" w:lineRule="auto"/>
              <w:jc w:val="center"/>
              <w:rPr>
                <w:rFonts w:cs="Times New Roman"/>
                <w:color w:val="000000"/>
                <w:kern w:val="0"/>
                <w:szCs w:val="24"/>
              </w:rPr>
            </w:pPr>
            <w:r>
              <w:rPr>
                <w:rFonts w:hint="eastAsia" w:cs="Times New Roman"/>
                <w:color w:val="000000"/>
                <w:kern w:val="0"/>
                <w:szCs w:val="24"/>
              </w:rPr>
              <w:t>8</w:t>
            </w:r>
          </w:p>
        </w:tc>
        <w:tc>
          <w:tcPr>
            <w:tcW w:w="0" w:type="auto"/>
            <w:shd w:val="clear" w:color="auto" w:fill="auto"/>
            <w:vAlign w:val="center"/>
          </w:tcPr>
          <w:p w14:paraId="132A67D6">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5CDE2594">
            <w:pPr>
              <w:widowControl/>
              <w:adjustRightInd w:val="0"/>
              <w:spacing w:line="240" w:lineRule="auto"/>
              <w:jc w:val="center"/>
              <w:rPr>
                <w:rFonts w:cs="Times New Roman"/>
                <w:color w:val="000000"/>
                <w:kern w:val="0"/>
                <w:szCs w:val="24"/>
              </w:rPr>
            </w:pPr>
            <w:r>
              <w:rPr>
                <w:rFonts w:hint="eastAsia" w:cs="Times New Roman"/>
                <w:color w:val="000000"/>
                <w:kern w:val="0"/>
                <w:szCs w:val="24"/>
              </w:rPr>
              <w:t>白石头沟</w:t>
            </w:r>
          </w:p>
        </w:tc>
        <w:tc>
          <w:tcPr>
            <w:tcW w:w="289" w:type="pct"/>
            <w:shd w:val="clear" w:color="auto" w:fill="auto"/>
            <w:vAlign w:val="center"/>
          </w:tcPr>
          <w:p w14:paraId="51547861">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309B045F">
            <w:pPr>
              <w:widowControl/>
              <w:adjustRightInd w:val="0"/>
              <w:spacing w:line="240" w:lineRule="auto"/>
              <w:jc w:val="center"/>
              <w:rPr>
                <w:rFonts w:cs="Times New Roman"/>
                <w:color w:val="000000"/>
                <w:kern w:val="0"/>
                <w:szCs w:val="24"/>
              </w:rPr>
            </w:pPr>
            <w:r>
              <w:rPr>
                <w:rFonts w:hint="eastAsia" w:cs="Times New Roman"/>
                <w:color w:val="000000"/>
                <w:kern w:val="0"/>
                <w:szCs w:val="24"/>
              </w:rPr>
              <w:t>3.51</w:t>
            </w:r>
            <w:r>
              <w:rPr>
                <w:rFonts w:cs="Times New Roman"/>
                <w:color w:val="000000"/>
                <w:kern w:val="0"/>
                <w:szCs w:val="24"/>
              </w:rPr>
              <w:t>km</w:t>
            </w:r>
          </w:p>
        </w:tc>
        <w:tc>
          <w:tcPr>
            <w:tcW w:w="1234" w:type="pct"/>
            <w:shd w:val="clear" w:color="auto" w:fill="auto"/>
            <w:vAlign w:val="center"/>
          </w:tcPr>
          <w:p w14:paraId="46036FE7">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0CE8BE06">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5F8A7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63DA44A6">
            <w:pPr>
              <w:widowControl/>
              <w:adjustRightInd w:val="0"/>
              <w:spacing w:line="240" w:lineRule="auto"/>
              <w:jc w:val="center"/>
              <w:rPr>
                <w:rFonts w:cs="Times New Roman"/>
                <w:color w:val="000000"/>
                <w:kern w:val="0"/>
                <w:szCs w:val="24"/>
              </w:rPr>
            </w:pPr>
            <w:r>
              <w:rPr>
                <w:rFonts w:hint="eastAsia" w:cs="Times New Roman"/>
                <w:color w:val="000000"/>
                <w:kern w:val="0"/>
                <w:szCs w:val="24"/>
              </w:rPr>
              <w:t>9</w:t>
            </w:r>
          </w:p>
        </w:tc>
        <w:tc>
          <w:tcPr>
            <w:tcW w:w="0" w:type="auto"/>
            <w:shd w:val="clear" w:color="auto" w:fill="auto"/>
            <w:vAlign w:val="center"/>
          </w:tcPr>
          <w:p w14:paraId="47888213">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5AF2FC2D">
            <w:pPr>
              <w:widowControl/>
              <w:adjustRightInd w:val="0"/>
              <w:spacing w:line="240" w:lineRule="auto"/>
              <w:jc w:val="center"/>
              <w:rPr>
                <w:rFonts w:cs="Times New Roman"/>
                <w:color w:val="000000"/>
                <w:kern w:val="0"/>
                <w:szCs w:val="24"/>
              </w:rPr>
            </w:pPr>
            <w:r>
              <w:rPr>
                <w:rFonts w:hint="eastAsia" w:cs="Times New Roman"/>
                <w:color w:val="000000"/>
                <w:kern w:val="0"/>
                <w:szCs w:val="24"/>
              </w:rPr>
              <w:t>大坝沟</w:t>
            </w:r>
          </w:p>
        </w:tc>
        <w:tc>
          <w:tcPr>
            <w:tcW w:w="289" w:type="pct"/>
            <w:shd w:val="clear" w:color="auto" w:fill="auto"/>
            <w:vAlign w:val="center"/>
          </w:tcPr>
          <w:p w14:paraId="36C12C0E">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2BC3E988">
            <w:pPr>
              <w:widowControl/>
              <w:adjustRightInd w:val="0"/>
              <w:spacing w:line="240" w:lineRule="auto"/>
              <w:jc w:val="center"/>
              <w:rPr>
                <w:rFonts w:cs="Times New Roman"/>
                <w:color w:val="000000"/>
                <w:kern w:val="0"/>
                <w:szCs w:val="24"/>
              </w:rPr>
            </w:pPr>
            <w:r>
              <w:rPr>
                <w:rFonts w:hint="eastAsia" w:cs="Times New Roman"/>
                <w:color w:val="000000"/>
                <w:kern w:val="0"/>
                <w:szCs w:val="24"/>
              </w:rPr>
              <w:t>8.46</w:t>
            </w:r>
            <w:r>
              <w:rPr>
                <w:rFonts w:cs="Times New Roman"/>
                <w:color w:val="000000"/>
                <w:kern w:val="0"/>
                <w:szCs w:val="24"/>
              </w:rPr>
              <w:t>km</w:t>
            </w:r>
          </w:p>
        </w:tc>
        <w:tc>
          <w:tcPr>
            <w:tcW w:w="1234" w:type="pct"/>
            <w:shd w:val="clear" w:color="auto" w:fill="auto"/>
            <w:vAlign w:val="center"/>
          </w:tcPr>
          <w:p w14:paraId="15E2D515">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3A1555D4">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九原区哈业胡同镇</w:t>
            </w:r>
          </w:p>
        </w:tc>
      </w:tr>
      <w:tr w14:paraId="38C6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0120843C">
            <w:pPr>
              <w:widowControl/>
              <w:adjustRightInd w:val="0"/>
              <w:spacing w:line="240" w:lineRule="auto"/>
              <w:jc w:val="center"/>
              <w:rPr>
                <w:rFonts w:cs="Times New Roman"/>
                <w:color w:val="000000"/>
                <w:kern w:val="0"/>
                <w:szCs w:val="24"/>
              </w:rPr>
            </w:pPr>
            <w:r>
              <w:rPr>
                <w:rFonts w:hint="eastAsia" w:cs="Times New Roman"/>
                <w:color w:val="000000"/>
                <w:kern w:val="0"/>
                <w:szCs w:val="24"/>
              </w:rPr>
              <w:t>10</w:t>
            </w:r>
          </w:p>
        </w:tc>
        <w:tc>
          <w:tcPr>
            <w:tcW w:w="0" w:type="auto"/>
            <w:shd w:val="clear" w:color="auto" w:fill="auto"/>
            <w:vAlign w:val="center"/>
          </w:tcPr>
          <w:p w14:paraId="577D9623">
            <w:pPr>
              <w:widowControl/>
              <w:adjustRightInd w:val="0"/>
              <w:spacing w:line="240" w:lineRule="auto"/>
              <w:jc w:val="center"/>
              <w:rPr>
                <w:rFonts w:cs="Times New Roman"/>
                <w:color w:val="000000"/>
                <w:kern w:val="0"/>
                <w:szCs w:val="24"/>
              </w:rPr>
            </w:pPr>
            <w:r>
              <w:rPr>
                <w:rFonts w:cs="Times New Roman"/>
                <w:color w:val="000000"/>
                <w:kern w:val="0"/>
                <w:szCs w:val="24"/>
              </w:rPr>
              <w:t>黄河</w:t>
            </w:r>
          </w:p>
        </w:tc>
        <w:tc>
          <w:tcPr>
            <w:tcW w:w="743" w:type="pct"/>
            <w:shd w:val="clear" w:color="auto" w:fill="auto"/>
            <w:vAlign w:val="center"/>
          </w:tcPr>
          <w:p w14:paraId="07F59A3B">
            <w:pPr>
              <w:widowControl/>
              <w:adjustRightInd w:val="0"/>
              <w:spacing w:line="240" w:lineRule="auto"/>
              <w:jc w:val="center"/>
              <w:rPr>
                <w:rFonts w:cs="Times New Roman"/>
                <w:color w:val="000000"/>
                <w:kern w:val="0"/>
                <w:szCs w:val="24"/>
              </w:rPr>
            </w:pPr>
            <w:r>
              <w:rPr>
                <w:rFonts w:hint="eastAsia" w:cs="Times New Roman"/>
                <w:color w:val="000000"/>
                <w:kern w:val="0"/>
                <w:szCs w:val="24"/>
              </w:rPr>
              <w:t>东柏树沟</w:t>
            </w:r>
          </w:p>
        </w:tc>
        <w:tc>
          <w:tcPr>
            <w:tcW w:w="289" w:type="pct"/>
            <w:shd w:val="clear" w:color="auto" w:fill="auto"/>
            <w:vAlign w:val="center"/>
          </w:tcPr>
          <w:p w14:paraId="742A7C62">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1CF2A939">
            <w:pPr>
              <w:widowControl/>
              <w:adjustRightInd w:val="0"/>
              <w:spacing w:line="240" w:lineRule="auto"/>
              <w:jc w:val="center"/>
              <w:rPr>
                <w:rFonts w:cs="Times New Roman"/>
                <w:color w:val="000000"/>
                <w:kern w:val="0"/>
                <w:szCs w:val="24"/>
              </w:rPr>
            </w:pPr>
            <w:r>
              <w:rPr>
                <w:rFonts w:hint="eastAsia" w:cs="Times New Roman"/>
                <w:color w:val="000000"/>
                <w:kern w:val="0"/>
                <w:szCs w:val="24"/>
              </w:rPr>
              <w:t>4.95</w:t>
            </w:r>
            <w:r>
              <w:rPr>
                <w:rFonts w:cs="Times New Roman"/>
                <w:color w:val="000000"/>
                <w:kern w:val="0"/>
                <w:szCs w:val="24"/>
              </w:rPr>
              <w:t>km</w:t>
            </w:r>
          </w:p>
        </w:tc>
        <w:tc>
          <w:tcPr>
            <w:tcW w:w="1234" w:type="pct"/>
            <w:shd w:val="clear" w:color="auto" w:fill="auto"/>
            <w:vAlign w:val="center"/>
          </w:tcPr>
          <w:p w14:paraId="2452BFA8">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158F629B">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26C1E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36A3DF5D">
            <w:pPr>
              <w:widowControl/>
              <w:adjustRightInd w:val="0"/>
              <w:spacing w:line="240" w:lineRule="auto"/>
              <w:jc w:val="center"/>
              <w:rPr>
                <w:rFonts w:cs="Times New Roman"/>
                <w:color w:val="000000"/>
                <w:kern w:val="0"/>
                <w:szCs w:val="24"/>
              </w:rPr>
            </w:pPr>
            <w:r>
              <w:rPr>
                <w:rFonts w:hint="eastAsia" w:cs="Times New Roman"/>
                <w:color w:val="000000"/>
                <w:kern w:val="0"/>
                <w:szCs w:val="24"/>
              </w:rPr>
              <w:t>11</w:t>
            </w:r>
          </w:p>
        </w:tc>
        <w:tc>
          <w:tcPr>
            <w:tcW w:w="0" w:type="auto"/>
            <w:shd w:val="clear" w:color="auto" w:fill="auto"/>
            <w:vAlign w:val="center"/>
          </w:tcPr>
          <w:p w14:paraId="47BCBDF0">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2ECF8125">
            <w:pPr>
              <w:widowControl/>
              <w:adjustRightInd w:val="0"/>
              <w:spacing w:line="240" w:lineRule="auto"/>
              <w:jc w:val="center"/>
              <w:rPr>
                <w:rFonts w:cs="Times New Roman"/>
                <w:color w:val="000000"/>
                <w:kern w:val="0"/>
                <w:szCs w:val="24"/>
              </w:rPr>
            </w:pPr>
            <w:r>
              <w:rPr>
                <w:rFonts w:hint="eastAsia" w:cs="Times New Roman"/>
                <w:color w:val="000000"/>
                <w:kern w:val="0"/>
                <w:szCs w:val="24"/>
              </w:rPr>
              <w:t>呼鲁斯太沟</w:t>
            </w:r>
          </w:p>
        </w:tc>
        <w:tc>
          <w:tcPr>
            <w:tcW w:w="289" w:type="pct"/>
            <w:shd w:val="clear" w:color="auto" w:fill="auto"/>
            <w:vAlign w:val="center"/>
          </w:tcPr>
          <w:p w14:paraId="699A43ED">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5E2CD2FB">
            <w:pPr>
              <w:widowControl/>
              <w:adjustRightInd w:val="0"/>
              <w:spacing w:line="240" w:lineRule="auto"/>
              <w:jc w:val="center"/>
              <w:rPr>
                <w:rFonts w:cs="Times New Roman"/>
                <w:color w:val="000000"/>
                <w:kern w:val="0"/>
                <w:szCs w:val="24"/>
              </w:rPr>
            </w:pPr>
            <w:r>
              <w:rPr>
                <w:rFonts w:hint="eastAsia" w:cs="Times New Roman"/>
                <w:color w:val="000000"/>
                <w:kern w:val="0"/>
                <w:szCs w:val="24"/>
              </w:rPr>
              <w:t>2.3</w:t>
            </w:r>
            <w:r>
              <w:rPr>
                <w:rFonts w:cs="Times New Roman"/>
                <w:color w:val="000000"/>
                <w:kern w:val="0"/>
                <w:szCs w:val="24"/>
              </w:rPr>
              <w:t>km</w:t>
            </w:r>
          </w:p>
        </w:tc>
        <w:tc>
          <w:tcPr>
            <w:tcW w:w="1234" w:type="pct"/>
            <w:shd w:val="clear" w:color="auto" w:fill="auto"/>
          </w:tcPr>
          <w:p w14:paraId="78A6D8FF">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33DFAB78">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79159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7F8F3D56">
            <w:pPr>
              <w:widowControl/>
              <w:adjustRightInd w:val="0"/>
              <w:spacing w:line="240" w:lineRule="auto"/>
              <w:jc w:val="center"/>
              <w:rPr>
                <w:rFonts w:cs="Times New Roman"/>
                <w:color w:val="000000"/>
                <w:kern w:val="0"/>
                <w:szCs w:val="24"/>
              </w:rPr>
            </w:pPr>
            <w:r>
              <w:rPr>
                <w:rFonts w:hint="eastAsia" w:cs="Times New Roman"/>
                <w:color w:val="000000"/>
                <w:kern w:val="0"/>
                <w:szCs w:val="24"/>
              </w:rPr>
              <w:t>12</w:t>
            </w:r>
          </w:p>
        </w:tc>
        <w:tc>
          <w:tcPr>
            <w:tcW w:w="0" w:type="auto"/>
            <w:shd w:val="clear" w:color="auto" w:fill="auto"/>
            <w:vAlign w:val="center"/>
          </w:tcPr>
          <w:p w14:paraId="35311357">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36BFB744">
            <w:pPr>
              <w:widowControl/>
              <w:adjustRightInd w:val="0"/>
              <w:spacing w:line="240" w:lineRule="auto"/>
              <w:jc w:val="center"/>
              <w:rPr>
                <w:rFonts w:cs="Times New Roman"/>
                <w:color w:val="000000"/>
                <w:kern w:val="0"/>
                <w:szCs w:val="24"/>
              </w:rPr>
            </w:pPr>
            <w:r>
              <w:rPr>
                <w:rFonts w:hint="eastAsia" w:cs="Times New Roman"/>
                <w:color w:val="000000"/>
                <w:kern w:val="0"/>
                <w:szCs w:val="24"/>
              </w:rPr>
              <w:t>虎贲亥沟</w:t>
            </w:r>
          </w:p>
        </w:tc>
        <w:tc>
          <w:tcPr>
            <w:tcW w:w="289" w:type="pct"/>
            <w:shd w:val="clear" w:color="auto" w:fill="auto"/>
            <w:vAlign w:val="center"/>
          </w:tcPr>
          <w:p w14:paraId="73E66A31">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6984C65F">
            <w:pPr>
              <w:widowControl/>
              <w:adjustRightInd w:val="0"/>
              <w:spacing w:line="240" w:lineRule="auto"/>
              <w:jc w:val="center"/>
              <w:rPr>
                <w:rFonts w:cs="Times New Roman"/>
                <w:color w:val="000000"/>
                <w:kern w:val="0"/>
                <w:szCs w:val="24"/>
              </w:rPr>
            </w:pPr>
            <w:r>
              <w:rPr>
                <w:rFonts w:hint="eastAsia" w:cs="Times New Roman"/>
                <w:color w:val="000000"/>
                <w:kern w:val="0"/>
                <w:szCs w:val="24"/>
              </w:rPr>
              <w:t>3.2</w:t>
            </w:r>
            <w:r>
              <w:rPr>
                <w:rFonts w:cs="Times New Roman"/>
                <w:color w:val="000000"/>
                <w:kern w:val="0"/>
                <w:szCs w:val="24"/>
              </w:rPr>
              <w:t>km</w:t>
            </w:r>
          </w:p>
        </w:tc>
        <w:tc>
          <w:tcPr>
            <w:tcW w:w="1234" w:type="pct"/>
            <w:shd w:val="clear" w:color="auto" w:fill="auto"/>
          </w:tcPr>
          <w:p w14:paraId="25BB0BFF">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13C7F52E">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九原区哈业胡同镇</w:t>
            </w:r>
          </w:p>
        </w:tc>
      </w:tr>
      <w:tr w14:paraId="2BF90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6944B6F7">
            <w:pPr>
              <w:widowControl/>
              <w:adjustRightInd w:val="0"/>
              <w:spacing w:line="240" w:lineRule="auto"/>
              <w:jc w:val="center"/>
              <w:rPr>
                <w:rFonts w:cs="Times New Roman"/>
                <w:color w:val="000000"/>
                <w:kern w:val="0"/>
                <w:szCs w:val="24"/>
              </w:rPr>
            </w:pPr>
            <w:r>
              <w:rPr>
                <w:rFonts w:hint="eastAsia" w:cs="Times New Roman"/>
                <w:color w:val="000000"/>
                <w:kern w:val="0"/>
                <w:szCs w:val="24"/>
              </w:rPr>
              <w:t>13</w:t>
            </w:r>
          </w:p>
        </w:tc>
        <w:tc>
          <w:tcPr>
            <w:tcW w:w="0" w:type="auto"/>
            <w:shd w:val="clear" w:color="auto" w:fill="auto"/>
            <w:vAlign w:val="center"/>
          </w:tcPr>
          <w:p w14:paraId="0C2C1A5E">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12FC4C90">
            <w:pPr>
              <w:widowControl/>
              <w:adjustRightInd w:val="0"/>
              <w:spacing w:line="240" w:lineRule="auto"/>
              <w:jc w:val="center"/>
              <w:rPr>
                <w:rFonts w:cs="Times New Roman"/>
                <w:color w:val="000000"/>
                <w:kern w:val="0"/>
                <w:szCs w:val="24"/>
              </w:rPr>
            </w:pPr>
            <w:r>
              <w:rPr>
                <w:rFonts w:hint="eastAsia" w:cs="Times New Roman"/>
                <w:color w:val="000000"/>
                <w:kern w:val="0"/>
                <w:szCs w:val="24"/>
              </w:rPr>
              <w:t>花沟</w:t>
            </w:r>
          </w:p>
        </w:tc>
        <w:tc>
          <w:tcPr>
            <w:tcW w:w="289" w:type="pct"/>
            <w:shd w:val="clear" w:color="auto" w:fill="auto"/>
            <w:vAlign w:val="center"/>
          </w:tcPr>
          <w:p w14:paraId="7411DD91">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6C6DF8C9">
            <w:pPr>
              <w:widowControl/>
              <w:adjustRightInd w:val="0"/>
              <w:spacing w:line="240" w:lineRule="auto"/>
              <w:jc w:val="center"/>
              <w:rPr>
                <w:rFonts w:cs="Times New Roman"/>
                <w:color w:val="000000"/>
                <w:kern w:val="0"/>
                <w:szCs w:val="24"/>
              </w:rPr>
            </w:pPr>
            <w:r>
              <w:rPr>
                <w:rFonts w:hint="eastAsia" w:cs="Times New Roman"/>
                <w:color w:val="000000"/>
                <w:kern w:val="0"/>
                <w:szCs w:val="24"/>
              </w:rPr>
              <w:t>4km</w:t>
            </w:r>
          </w:p>
        </w:tc>
        <w:tc>
          <w:tcPr>
            <w:tcW w:w="1234" w:type="pct"/>
            <w:shd w:val="clear" w:color="auto" w:fill="auto"/>
          </w:tcPr>
          <w:p w14:paraId="51EE33A0">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3A3F5DAA">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2FCE0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1858D8DA">
            <w:pPr>
              <w:widowControl/>
              <w:adjustRightInd w:val="0"/>
              <w:spacing w:line="240" w:lineRule="auto"/>
              <w:jc w:val="center"/>
              <w:rPr>
                <w:rFonts w:cs="Times New Roman"/>
                <w:color w:val="000000"/>
                <w:kern w:val="0"/>
                <w:szCs w:val="24"/>
              </w:rPr>
            </w:pPr>
            <w:r>
              <w:rPr>
                <w:rFonts w:hint="eastAsia" w:cs="Times New Roman"/>
                <w:color w:val="000000"/>
                <w:kern w:val="0"/>
                <w:szCs w:val="24"/>
              </w:rPr>
              <w:t>14</w:t>
            </w:r>
          </w:p>
        </w:tc>
        <w:tc>
          <w:tcPr>
            <w:tcW w:w="0" w:type="auto"/>
            <w:shd w:val="clear" w:color="auto" w:fill="auto"/>
            <w:vAlign w:val="center"/>
          </w:tcPr>
          <w:p w14:paraId="2383E2BD">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159E2156">
            <w:pPr>
              <w:widowControl/>
              <w:adjustRightInd w:val="0"/>
              <w:spacing w:line="240" w:lineRule="auto"/>
              <w:jc w:val="center"/>
              <w:rPr>
                <w:rFonts w:cs="Times New Roman"/>
                <w:color w:val="000000"/>
                <w:kern w:val="0"/>
                <w:szCs w:val="24"/>
              </w:rPr>
            </w:pPr>
            <w:r>
              <w:rPr>
                <w:rFonts w:hint="eastAsia" w:cs="Times New Roman"/>
                <w:color w:val="000000"/>
                <w:kern w:val="0"/>
                <w:szCs w:val="24"/>
              </w:rPr>
              <w:t>门道沟</w:t>
            </w:r>
          </w:p>
        </w:tc>
        <w:tc>
          <w:tcPr>
            <w:tcW w:w="289" w:type="pct"/>
            <w:shd w:val="clear" w:color="auto" w:fill="auto"/>
            <w:vAlign w:val="center"/>
          </w:tcPr>
          <w:p w14:paraId="6E71AE51">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1A393D9C">
            <w:pPr>
              <w:widowControl/>
              <w:adjustRightInd w:val="0"/>
              <w:spacing w:line="240" w:lineRule="auto"/>
              <w:jc w:val="center"/>
              <w:rPr>
                <w:rFonts w:cs="Times New Roman"/>
                <w:color w:val="000000"/>
                <w:kern w:val="0"/>
                <w:szCs w:val="24"/>
              </w:rPr>
            </w:pPr>
            <w:r>
              <w:rPr>
                <w:rFonts w:hint="eastAsia" w:cs="Times New Roman"/>
                <w:color w:val="000000"/>
                <w:kern w:val="0"/>
                <w:szCs w:val="24"/>
              </w:rPr>
              <w:t>10</w:t>
            </w:r>
            <w:r>
              <w:rPr>
                <w:rFonts w:cs="Times New Roman"/>
                <w:color w:val="000000"/>
                <w:kern w:val="0"/>
                <w:szCs w:val="24"/>
              </w:rPr>
              <w:t>km</w:t>
            </w:r>
          </w:p>
        </w:tc>
        <w:tc>
          <w:tcPr>
            <w:tcW w:w="1234" w:type="pct"/>
            <w:shd w:val="clear" w:color="auto" w:fill="auto"/>
          </w:tcPr>
          <w:p w14:paraId="20FD379B">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2D4AF60C">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7CA23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5DE45D09">
            <w:pPr>
              <w:widowControl/>
              <w:adjustRightInd w:val="0"/>
              <w:spacing w:line="240" w:lineRule="auto"/>
              <w:jc w:val="center"/>
              <w:rPr>
                <w:rFonts w:cs="Times New Roman"/>
                <w:color w:val="000000"/>
                <w:kern w:val="0"/>
                <w:szCs w:val="24"/>
              </w:rPr>
            </w:pPr>
            <w:r>
              <w:rPr>
                <w:rFonts w:hint="eastAsia" w:cs="Times New Roman"/>
                <w:color w:val="000000"/>
                <w:kern w:val="0"/>
                <w:szCs w:val="24"/>
              </w:rPr>
              <w:t>15</w:t>
            </w:r>
          </w:p>
        </w:tc>
        <w:tc>
          <w:tcPr>
            <w:tcW w:w="0" w:type="auto"/>
            <w:shd w:val="clear" w:color="auto" w:fill="auto"/>
            <w:vAlign w:val="center"/>
          </w:tcPr>
          <w:p w14:paraId="1CD20195">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3F936667">
            <w:pPr>
              <w:widowControl/>
              <w:adjustRightInd w:val="0"/>
              <w:spacing w:line="240" w:lineRule="auto"/>
              <w:jc w:val="center"/>
              <w:rPr>
                <w:rFonts w:cs="Times New Roman"/>
                <w:color w:val="000000"/>
                <w:kern w:val="0"/>
                <w:szCs w:val="24"/>
              </w:rPr>
            </w:pPr>
            <w:r>
              <w:rPr>
                <w:rFonts w:hint="eastAsia" w:cs="Times New Roman"/>
                <w:color w:val="000000"/>
                <w:kern w:val="0"/>
                <w:szCs w:val="24"/>
              </w:rPr>
              <w:t>乌兰不浪沟</w:t>
            </w:r>
          </w:p>
        </w:tc>
        <w:tc>
          <w:tcPr>
            <w:tcW w:w="289" w:type="pct"/>
            <w:shd w:val="clear" w:color="auto" w:fill="auto"/>
            <w:vAlign w:val="center"/>
          </w:tcPr>
          <w:p w14:paraId="14CC5CE1">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7F13E6F2">
            <w:pPr>
              <w:widowControl/>
              <w:adjustRightInd w:val="0"/>
              <w:spacing w:line="240" w:lineRule="auto"/>
              <w:jc w:val="center"/>
              <w:rPr>
                <w:rFonts w:cs="Times New Roman"/>
                <w:color w:val="000000"/>
                <w:kern w:val="0"/>
                <w:szCs w:val="24"/>
              </w:rPr>
            </w:pPr>
            <w:r>
              <w:rPr>
                <w:rFonts w:hint="eastAsia" w:cs="Times New Roman"/>
                <w:color w:val="000000"/>
                <w:kern w:val="0"/>
                <w:szCs w:val="24"/>
              </w:rPr>
              <w:t>11.2</w:t>
            </w:r>
            <w:r>
              <w:rPr>
                <w:rFonts w:cs="Times New Roman"/>
                <w:color w:val="000000"/>
                <w:kern w:val="0"/>
                <w:szCs w:val="24"/>
              </w:rPr>
              <w:t>km</w:t>
            </w:r>
          </w:p>
        </w:tc>
        <w:tc>
          <w:tcPr>
            <w:tcW w:w="1234" w:type="pct"/>
            <w:shd w:val="clear" w:color="auto" w:fill="auto"/>
          </w:tcPr>
          <w:p w14:paraId="398FCF7F">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5D17FF18">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r w14:paraId="4891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noWrap/>
            <w:vAlign w:val="center"/>
          </w:tcPr>
          <w:p w14:paraId="2650CE7C">
            <w:pPr>
              <w:widowControl/>
              <w:adjustRightInd w:val="0"/>
              <w:spacing w:line="240" w:lineRule="auto"/>
              <w:jc w:val="center"/>
              <w:rPr>
                <w:rFonts w:cs="Times New Roman"/>
                <w:color w:val="000000"/>
                <w:kern w:val="0"/>
                <w:szCs w:val="24"/>
              </w:rPr>
            </w:pPr>
            <w:r>
              <w:rPr>
                <w:rFonts w:hint="eastAsia" w:cs="Times New Roman"/>
                <w:color w:val="000000"/>
                <w:kern w:val="0"/>
                <w:szCs w:val="24"/>
              </w:rPr>
              <w:t>16</w:t>
            </w:r>
          </w:p>
        </w:tc>
        <w:tc>
          <w:tcPr>
            <w:tcW w:w="0" w:type="auto"/>
            <w:shd w:val="clear" w:color="auto" w:fill="auto"/>
            <w:vAlign w:val="center"/>
          </w:tcPr>
          <w:p w14:paraId="050E4198">
            <w:pPr>
              <w:widowControl/>
              <w:adjustRightInd w:val="0"/>
              <w:spacing w:line="240" w:lineRule="auto"/>
              <w:jc w:val="center"/>
              <w:rPr>
                <w:rFonts w:cs="Times New Roman"/>
                <w:color w:val="000000"/>
                <w:kern w:val="0"/>
                <w:szCs w:val="24"/>
              </w:rPr>
            </w:pPr>
            <w:r>
              <w:rPr>
                <w:rFonts w:hint="eastAsia" w:cs="Times New Roman"/>
                <w:color w:val="000000"/>
                <w:kern w:val="0"/>
                <w:szCs w:val="24"/>
              </w:rPr>
              <w:t>黄河</w:t>
            </w:r>
          </w:p>
        </w:tc>
        <w:tc>
          <w:tcPr>
            <w:tcW w:w="743" w:type="pct"/>
            <w:shd w:val="clear" w:color="auto" w:fill="auto"/>
            <w:vAlign w:val="center"/>
          </w:tcPr>
          <w:p w14:paraId="0EF70FD5">
            <w:pPr>
              <w:widowControl/>
              <w:adjustRightInd w:val="0"/>
              <w:spacing w:line="240" w:lineRule="auto"/>
              <w:jc w:val="center"/>
              <w:rPr>
                <w:rFonts w:cs="Times New Roman"/>
                <w:color w:val="000000"/>
                <w:kern w:val="0"/>
                <w:szCs w:val="24"/>
              </w:rPr>
            </w:pPr>
            <w:r>
              <w:rPr>
                <w:rFonts w:hint="eastAsia" w:cs="Times New Roman"/>
                <w:color w:val="000000"/>
                <w:kern w:val="0"/>
                <w:szCs w:val="24"/>
              </w:rPr>
              <w:t>西柏树沟</w:t>
            </w:r>
          </w:p>
        </w:tc>
        <w:tc>
          <w:tcPr>
            <w:tcW w:w="289" w:type="pct"/>
            <w:shd w:val="clear" w:color="auto" w:fill="auto"/>
            <w:vAlign w:val="center"/>
          </w:tcPr>
          <w:p w14:paraId="372706EA">
            <w:pPr>
              <w:widowControl/>
              <w:adjustRightInd w:val="0"/>
              <w:spacing w:line="240" w:lineRule="auto"/>
              <w:jc w:val="center"/>
              <w:rPr>
                <w:rFonts w:cs="Times New Roman"/>
                <w:color w:val="000000"/>
                <w:kern w:val="0"/>
                <w:szCs w:val="24"/>
              </w:rPr>
            </w:pPr>
            <w:r>
              <w:rPr>
                <w:rFonts w:hint="eastAsia" w:cs="Times New Roman"/>
                <w:color w:val="000000"/>
                <w:kern w:val="0"/>
                <w:szCs w:val="24"/>
              </w:rPr>
              <w:t>2</w:t>
            </w:r>
          </w:p>
        </w:tc>
        <w:tc>
          <w:tcPr>
            <w:tcW w:w="1154" w:type="pct"/>
            <w:shd w:val="clear" w:color="auto" w:fill="auto"/>
            <w:vAlign w:val="center"/>
          </w:tcPr>
          <w:p w14:paraId="6F41231C">
            <w:pPr>
              <w:widowControl/>
              <w:adjustRightInd w:val="0"/>
              <w:spacing w:line="240" w:lineRule="auto"/>
              <w:jc w:val="center"/>
              <w:rPr>
                <w:rFonts w:cs="Times New Roman"/>
                <w:color w:val="000000"/>
                <w:kern w:val="0"/>
                <w:szCs w:val="24"/>
              </w:rPr>
            </w:pPr>
            <w:r>
              <w:rPr>
                <w:rFonts w:hint="eastAsia" w:cs="Times New Roman"/>
                <w:color w:val="000000"/>
                <w:kern w:val="0"/>
                <w:szCs w:val="24"/>
              </w:rPr>
              <w:t>5</w:t>
            </w:r>
            <w:r>
              <w:rPr>
                <w:rFonts w:cs="Times New Roman"/>
                <w:color w:val="000000"/>
                <w:kern w:val="0"/>
                <w:szCs w:val="24"/>
              </w:rPr>
              <w:t>km</w:t>
            </w:r>
          </w:p>
        </w:tc>
        <w:tc>
          <w:tcPr>
            <w:tcW w:w="1234" w:type="pct"/>
            <w:shd w:val="clear" w:color="auto" w:fill="auto"/>
          </w:tcPr>
          <w:p w14:paraId="30ECDCCA">
            <w:pPr>
              <w:widowControl/>
              <w:adjustRightInd w:val="0"/>
              <w:spacing w:line="240" w:lineRule="auto"/>
              <w:jc w:val="center"/>
              <w:rPr>
                <w:rFonts w:cs="Times New Roman"/>
                <w:color w:val="000000"/>
                <w:kern w:val="0"/>
                <w:szCs w:val="24"/>
              </w:rPr>
            </w:pPr>
            <w:r>
              <w:rPr>
                <w:rFonts w:hint="eastAsia" w:cs="Times New Roman"/>
                <w:color w:val="000000"/>
                <w:kern w:val="0"/>
                <w:szCs w:val="24"/>
              </w:rPr>
              <w:t>乌拉山源头</w:t>
            </w:r>
          </w:p>
        </w:tc>
        <w:tc>
          <w:tcPr>
            <w:tcW w:w="886" w:type="pct"/>
            <w:shd w:val="clear" w:color="auto" w:fill="auto"/>
            <w:vAlign w:val="center"/>
          </w:tcPr>
          <w:p w14:paraId="09DEEF5A">
            <w:pPr>
              <w:widowControl/>
              <w:adjustRightInd w:val="0"/>
              <w:spacing w:line="240" w:lineRule="auto"/>
              <w:jc w:val="center"/>
              <w:rPr>
                <w:rFonts w:cs="Times New Roman"/>
                <w:color w:val="000000"/>
                <w:kern w:val="0"/>
                <w:szCs w:val="24"/>
              </w:rPr>
            </w:pPr>
            <w:r>
              <w:rPr>
                <w:rFonts w:hint="eastAsia" w:cs="Times New Roman"/>
                <w:color w:val="000000"/>
                <w:kern w:val="0"/>
                <w:szCs w:val="24"/>
              </w:rPr>
              <w:t>九原区阿嘎如泰苏木</w:t>
            </w:r>
          </w:p>
        </w:tc>
      </w:tr>
    </w:tbl>
    <w:p w14:paraId="03152D1F">
      <w:pPr>
        <w:widowControl/>
        <w:adjustRightInd w:val="0"/>
        <w:rPr>
          <w:rFonts w:eastAsia="仿宋_GB2312" w:cs="Times New Roman"/>
          <w:szCs w:val="24"/>
        </w:rPr>
        <w:sectPr>
          <w:headerReference r:id="rId22" w:type="default"/>
          <w:pgSz w:w="16838" w:h="11906" w:orient="landscape"/>
          <w:pgMar w:top="1800" w:right="1440" w:bottom="1800" w:left="1440" w:header="851" w:footer="992" w:gutter="0"/>
          <w:cols w:space="425" w:num="1"/>
          <w:docGrid w:type="lines" w:linePitch="326" w:charSpace="0"/>
        </w:sectPr>
      </w:pPr>
    </w:p>
    <w:p w14:paraId="60CCB2D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44" w:name="_Toc198652150"/>
      <w:r>
        <w:rPr>
          <w:rFonts w:ascii="Times New Roman" w:hAnsi="Times New Roman" w:eastAsia="黑体" w:cs="Times New Roman"/>
          <w:b w:val="0"/>
          <w:bCs w:val="0"/>
          <w:kern w:val="0"/>
          <w:sz w:val="28"/>
          <w:szCs w:val="28"/>
        </w:rPr>
        <w:t>附</w:t>
      </w:r>
      <w:r>
        <w:rPr>
          <w:rFonts w:hint="eastAsia" w:ascii="Times New Roman" w:hAnsi="Times New Roman" w:eastAsia="黑体" w:cs="Times New Roman"/>
          <w:b w:val="0"/>
          <w:bCs w:val="0"/>
          <w:kern w:val="0"/>
          <w:sz w:val="28"/>
          <w:szCs w:val="28"/>
        </w:rPr>
        <w:t>表2</w:t>
      </w:r>
      <w:r>
        <w:rPr>
          <w:rFonts w:ascii="Times New Roman" w:hAnsi="Times New Roman" w:eastAsia="黑体" w:cs="Times New Roman"/>
          <w:b w:val="0"/>
          <w:bCs w:val="0"/>
          <w:kern w:val="0"/>
          <w:sz w:val="28"/>
          <w:szCs w:val="28"/>
        </w:rPr>
        <w:t xml:space="preserve">  九原区已建中型灌区基本情况</w:t>
      </w:r>
      <w:bookmarkEnd w:id="244"/>
    </w:p>
    <w:tbl>
      <w:tblPr>
        <w:tblStyle w:val="19"/>
        <w:tblW w:w="5000" w:type="pct"/>
        <w:jc w:val="center"/>
        <w:tblLayout w:type="fixed"/>
        <w:tblCellMar>
          <w:top w:w="0" w:type="dxa"/>
          <w:left w:w="108" w:type="dxa"/>
          <w:bottom w:w="0" w:type="dxa"/>
          <w:right w:w="108" w:type="dxa"/>
        </w:tblCellMar>
      </w:tblPr>
      <w:tblGrid>
        <w:gridCol w:w="1208"/>
        <w:gridCol w:w="1701"/>
        <w:gridCol w:w="1600"/>
        <w:gridCol w:w="1600"/>
        <w:gridCol w:w="2412"/>
      </w:tblGrid>
      <w:tr w14:paraId="4E6A5C02">
        <w:tblPrEx>
          <w:tblCellMar>
            <w:top w:w="0" w:type="dxa"/>
            <w:left w:w="108" w:type="dxa"/>
            <w:bottom w:w="0" w:type="dxa"/>
            <w:right w:w="108" w:type="dxa"/>
          </w:tblCellMar>
        </w:tblPrEx>
        <w:trPr>
          <w:jc w:val="center"/>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1F7B8">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灌区类型</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91C98">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灌区规模</w:t>
            </w:r>
          </w:p>
        </w:tc>
        <w:tc>
          <w:tcPr>
            <w:tcW w:w="9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AC964">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灌区名称</w:t>
            </w:r>
          </w:p>
        </w:tc>
        <w:tc>
          <w:tcPr>
            <w:tcW w:w="9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CB076">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设计灌溉面积（万亩）</w:t>
            </w:r>
          </w:p>
        </w:tc>
        <w:tc>
          <w:tcPr>
            <w:tcW w:w="1415" w:type="pct"/>
            <w:tcBorders>
              <w:top w:val="single" w:color="000000" w:sz="4" w:space="0"/>
              <w:left w:val="single" w:color="000000" w:sz="4" w:space="0"/>
              <w:bottom w:val="single" w:color="000000" w:sz="4" w:space="0"/>
              <w:right w:val="single" w:color="000000" w:sz="4" w:space="0"/>
            </w:tcBorders>
            <w:vAlign w:val="center"/>
          </w:tcPr>
          <w:p w14:paraId="683B2FAF">
            <w:pPr>
              <w:widowControl/>
              <w:adjustRightInd w:val="0"/>
              <w:spacing w:line="240" w:lineRule="auto"/>
              <w:jc w:val="center"/>
              <w:textAlignment w:val="center"/>
              <w:rPr>
                <w:rFonts w:cs="Times New Roman"/>
                <w:color w:val="000000"/>
                <w:kern w:val="0"/>
                <w:szCs w:val="24"/>
                <w:lang w:bidi="ar"/>
              </w:rPr>
            </w:pPr>
            <w:r>
              <w:rPr>
                <w:rFonts w:hint="eastAsia"/>
                <w:szCs w:val="24"/>
              </w:rPr>
              <w:t>取水量（万m</w:t>
            </w:r>
            <w:r>
              <w:rPr>
                <w:rFonts w:hint="eastAsia"/>
                <w:szCs w:val="24"/>
                <w:vertAlign w:val="superscript"/>
              </w:rPr>
              <w:t>3</w:t>
            </w:r>
            <w:r>
              <w:rPr>
                <w:rFonts w:hint="eastAsia"/>
                <w:szCs w:val="24"/>
              </w:rPr>
              <w:t>）</w:t>
            </w:r>
          </w:p>
        </w:tc>
      </w:tr>
      <w:tr w14:paraId="10B1D2A6">
        <w:tblPrEx>
          <w:tblCellMar>
            <w:top w:w="0" w:type="dxa"/>
            <w:left w:w="108" w:type="dxa"/>
            <w:bottom w:w="0" w:type="dxa"/>
            <w:right w:w="108" w:type="dxa"/>
          </w:tblCellMar>
        </w:tblPrEx>
        <w:trPr>
          <w:jc w:val="center"/>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8A675">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中型灌区</w:t>
            </w:r>
          </w:p>
        </w:tc>
        <w:tc>
          <w:tcPr>
            <w:tcW w:w="9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6C40D">
            <w:pPr>
              <w:widowControl/>
              <w:adjustRightInd w:val="0"/>
              <w:spacing w:line="240" w:lineRule="auto"/>
              <w:jc w:val="center"/>
              <w:textAlignment w:val="center"/>
              <w:rPr>
                <w:rFonts w:cs="Times New Roman"/>
                <w:color w:val="000000"/>
                <w:szCs w:val="24"/>
              </w:rPr>
            </w:pPr>
            <w:r>
              <w:rPr>
                <w:rFonts w:cs="Times New Roman"/>
                <w:color w:val="000000"/>
                <w:kern w:val="0"/>
                <w:szCs w:val="24"/>
                <w:lang w:bidi="ar"/>
              </w:rPr>
              <w:t>重点中型灌区</w:t>
            </w:r>
          </w:p>
        </w:tc>
        <w:tc>
          <w:tcPr>
            <w:tcW w:w="9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BEFA1">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三湖河灌区</w:t>
            </w:r>
          </w:p>
        </w:tc>
        <w:tc>
          <w:tcPr>
            <w:tcW w:w="9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4C336">
            <w:pPr>
              <w:widowControl/>
              <w:adjustRightInd w:val="0"/>
              <w:spacing w:line="240" w:lineRule="auto"/>
              <w:jc w:val="center"/>
              <w:textAlignment w:val="center"/>
              <w:rPr>
                <w:rFonts w:cs="Times New Roman"/>
                <w:color w:val="000000"/>
                <w:szCs w:val="24"/>
              </w:rPr>
            </w:pPr>
            <w:r>
              <w:rPr>
                <w:rFonts w:hint="eastAsia" w:cs="Times New Roman"/>
                <w:color w:val="000000"/>
                <w:kern w:val="0"/>
                <w:szCs w:val="24"/>
                <w:lang w:bidi="ar"/>
              </w:rPr>
              <w:t>10.8</w:t>
            </w:r>
          </w:p>
        </w:tc>
        <w:tc>
          <w:tcPr>
            <w:tcW w:w="1415" w:type="pct"/>
            <w:tcBorders>
              <w:top w:val="single" w:color="000000" w:sz="4" w:space="0"/>
              <w:left w:val="single" w:color="000000" w:sz="4" w:space="0"/>
              <w:bottom w:val="single" w:color="000000" w:sz="4" w:space="0"/>
              <w:right w:val="single" w:color="000000" w:sz="4" w:space="0"/>
            </w:tcBorders>
            <w:vAlign w:val="center"/>
          </w:tcPr>
          <w:p w14:paraId="600ECDE0">
            <w:pPr>
              <w:widowControl/>
              <w:adjustRightInd w:val="0"/>
              <w:spacing w:line="240" w:lineRule="auto"/>
              <w:jc w:val="center"/>
              <w:textAlignment w:val="center"/>
              <w:rPr>
                <w:rFonts w:cs="Times New Roman"/>
                <w:color w:val="000000"/>
                <w:kern w:val="0"/>
                <w:szCs w:val="24"/>
                <w:lang w:bidi="ar"/>
              </w:rPr>
            </w:pPr>
            <w:r>
              <w:rPr>
                <w:rFonts w:hint="eastAsia"/>
                <w:szCs w:val="24"/>
              </w:rPr>
              <w:t>2280</w:t>
            </w:r>
          </w:p>
        </w:tc>
      </w:tr>
    </w:tbl>
    <w:p w14:paraId="7B650767"/>
    <w:p w14:paraId="5F0E9078">
      <w:pPr>
        <w:widowControl/>
        <w:snapToGrid/>
        <w:spacing w:line="240" w:lineRule="auto"/>
        <w:jc w:val="left"/>
        <w:rPr>
          <w:rFonts w:eastAsia="黑体" w:cs="Times New Roman"/>
          <w:kern w:val="0"/>
          <w:sz w:val="28"/>
          <w:szCs w:val="28"/>
        </w:rPr>
      </w:pPr>
      <w:r>
        <w:rPr>
          <w:rFonts w:eastAsia="黑体" w:cs="Times New Roman"/>
          <w:b/>
          <w:bCs/>
          <w:kern w:val="0"/>
          <w:sz w:val="28"/>
          <w:szCs w:val="28"/>
        </w:rPr>
        <w:br w:type="page"/>
      </w:r>
    </w:p>
    <w:p w14:paraId="210CD7ED">
      <w:pPr>
        <w:pStyle w:val="3"/>
        <w:widowControl/>
        <w:adjustRightInd w:val="0"/>
        <w:spacing w:before="156" w:beforeLines="50" w:after="0" w:line="360" w:lineRule="auto"/>
        <w:jc w:val="left"/>
        <w:rPr>
          <w:rFonts w:ascii="Times New Roman" w:hAnsi="Times New Roman" w:eastAsia="黑体" w:cs="Times New Roman"/>
          <w:b w:val="0"/>
          <w:bCs w:val="0"/>
          <w:kern w:val="0"/>
          <w:sz w:val="28"/>
          <w:szCs w:val="28"/>
        </w:rPr>
      </w:pPr>
      <w:bookmarkStart w:id="245" w:name="_Toc198652151"/>
      <w:r>
        <w:rPr>
          <w:rFonts w:ascii="Times New Roman" w:hAnsi="Times New Roman" w:eastAsia="黑体" w:cs="Times New Roman"/>
          <w:b w:val="0"/>
          <w:bCs w:val="0"/>
          <w:kern w:val="0"/>
          <w:sz w:val="28"/>
          <w:szCs w:val="28"/>
        </w:rPr>
        <w:t>附</w:t>
      </w:r>
      <w:r>
        <w:rPr>
          <w:rFonts w:hint="eastAsia" w:ascii="Times New Roman" w:hAnsi="Times New Roman" w:eastAsia="黑体" w:cs="Times New Roman"/>
          <w:b w:val="0"/>
          <w:bCs w:val="0"/>
          <w:kern w:val="0"/>
          <w:sz w:val="28"/>
          <w:szCs w:val="28"/>
        </w:rPr>
        <w:t>表3</w:t>
      </w:r>
      <w:r>
        <w:rPr>
          <w:rFonts w:ascii="Times New Roman" w:hAnsi="Times New Roman" w:eastAsia="黑体" w:cs="Times New Roman"/>
          <w:b w:val="0"/>
          <w:bCs w:val="0"/>
          <w:kern w:val="0"/>
          <w:sz w:val="28"/>
          <w:szCs w:val="28"/>
        </w:rPr>
        <w:t xml:space="preserve">  </w:t>
      </w:r>
      <w:bookmarkStart w:id="246" w:name="_Hlk197591181"/>
      <w:r>
        <w:rPr>
          <w:rFonts w:hint="eastAsia" w:ascii="Times New Roman" w:hAnsi="Times New Roman" w:eastAsia="黑体" w:cs="Times New Roman"/>
          <w:b w:val="0"/>
          <w:bCs w:val="0"/>
          <w:kern w:val="0"/>
          <w:sz w:val="28"/>
          <w:szCs w:val="28"/>
        </w:rPr>
        <w:t>九原区经济社会发展指标表</w:t>
      </w:r>
      <w:bookmarkEnd w:id="245"/>
      <w:bookmarkEnd w:id="246"/>
    </w:p>
    <w:p w14:paraId="76DD1B84">
      <w:pPr>
        <w:widowControl/>
        <w:adjustRightInd w:val="0"/>
        <w:rPr>
          <w:rFonts w:eastAsia="仿宋_GB2312" w:cs="Times New Roman"/>
          <w:szCs w:val="24"/>
        </w:rPr>
      </w:pPr>
      <w:r>
        <w:drawing>
          <wp:inline distT="0" distB="0" distL="0" distR="0">
            <wp:extent cx="5274310" cy="7033895"/>
            <wp:effectExtent l="0" t="0" r="2540" b="0"/>
            <wp:docPr id="34739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9480" name="图片 1"/>
                    <pic:cNvPicPr>
                      <a:picLocks noChangeAspect="1"/>
                    </pic:cNvPicPr>
                  </pic:nvPicPr>
                  <pic:blipFill>
                    <a:blip r:embed="rId58"/>
                    <a:stretch>
                      <a:fillRect/>
                    </a:stretch>
                  </pic:blipFill>
                  <pic:spPr>
                    <a:xfrm>
                      <a:off x="0" y="0"/>
                      <a:ext cx="5274310" cy="7033895"/>
                    </a:xfrm>
                    <a:prstGeom prst="rect">
                      <a:avLst/>
                    </a:prstGeom>
                  </pic:spPr>
                </pic:pic>
              </a:graphicData>
            </a:graphic>
          </wp:inline>
        </w:drawing>
      </w:r>
    </w:p>
    <w:p w14:paraId="07C1DCCF">
      <w:pPr>
        <w:widowControl/>
        <w:snapToGrid/>
        <w:spacing w:line="240" w:lineRule="auto"/>
        <w:jc w:val="left"/>
        <w:rPr>
          <w:rFonts w:eastAsia="仿宋_GB2312" w:cs="Times New Roman"/>
          <w:szCs w:val="24"/>
        </w:rPr>
      </w:pPr>
      <w:r>
        <w:rPr>
          <w:rFonts w:eastAsia="仿宋_GB2312" w:cs="Times New Roman"/>
          <w:szCs w:val="24"/>
        </w:rPr>
        <w:br w:type="page"/>
      </w:r>
    </w:p>
    <w:p w14:paraId="04C4599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47" w:name="_Toc198652152"/>
      <w:r>
        <w:rPr>
          <w:rFonts w:ascii="Times New Roman" w:hAnsi="Times New Roman" w:eastAsia="黑体" w:cs="Times New Roman"/>
          <w:b w:val="0"/>
          <w:bCs w:val="0"/>
          <w:kern w:val="0"/>
          <w:sz w:val="28"/>
          <w:szCs w:val="28"/>
        </w:rPr>
        <w:t>附</w:t>
      </w:r>
      <w:r>
        <w:rPr>
          <w:rFonts w:hint="eastAsia" w:ascii="Times New Roman" w:hAnsi="Times New Roman" w:eastAsia="黑体" w:cs="Times New Roman"/>
          <w:b w:val="0"/>
          <w:bCs w:val="0"/>
          <w:kern w:val="0"/>
          <w:sz w:val="28"/>
          <w:szCs w:val="28"/>
        </w:rPr>
        <w:t>表4</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九原区现状年用水总量和强度目标完成情况表</w:t>
      </w:r>
      <w:bookmarkEnd w:id="247"/>
    </w:p>
    <w:p w14:paraId="09E12F10">
      <w:pPr>
        <w:widowControl/>
        <w:adjustRightInd w:val="0"/>
        <w:rPr>
          <w:rFonts w:eastAsia="仿宋_GB2312" w:cs="Times New Roman"/>
          <w:szCs w:val="24"/>
        </w:rPr>
      </w:pPr>
      <w:r>
        <w:drawing>
          <wp:inline distT="0" distB="0" distL="0" distR="0">
            <wp:extent cx="5274310" cy="2838450"/>
            <wp:effectExtent l="0" t="0" r="2540" b="0"/>
            <wp:docPr id="2017625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25132" name="图片 1"/>
                    <pic:cNvPicPr>
                      <a:picLocks noChangeAspect="1"/>
                    </pic:cNvPicPr>
                  </pic:nvPicPr>
                  <pic:blipFill>
                    <a:blip r:embed="rId59"/>
                    <a:stretch>
                      <a:fillRect/>
                    </a:stretch>
                  </pic:blipFill>
                  <pic:spPr>
                    <a:xfrm>
                      <a:off x="0" y="0"/>
                      <a:ext cx="5274310" cy="2838560"/>
                    </a:xfrm>
                    <a:prstGeom prst="rect">
                      <a:avLst/>
                    </a:prstGeom>
                  </pic:spPr>
                </pic:pic>
              </a:graphicData>
            </a:graphic>
          </wp:inline>
        </w:drawing>
      </w:r>
    </w:p>
    <w:p w14:paraId="7983BD22">
      <w:pPr>
        <w:widowControl/>
        <w:adjustRightInd w:val="0"/>
        <w:rPr>
          <w:rFonts w:eastAsia="仿宋_GB2312" w:cs="Times New Roman"/>
          <w:szCs w:val="24"/>
        </w:rPr>
      </w:pPr>
    </w:p>
    <w:p w14:paraId="3001F7D1">
      <w:pPr>
        <w:widowControl/>
        <w:adjustRightInd w:val="0"/>
        <w:rPr>
          <w:rFonts w:eastAsia="仿宋_GB2312" w:cs="Times New Roman"/>
          <w:szCs w:val="24"/>
        </w:rPr>
        <w:sectPr>
          <w:type w:val="continuous"/>
          <w:pgSz w:w="11906" w:h="16838"/>
          <w:pgMar w:top="1440" w:right="1800" w:bottom="1440" w:left="1800" w:header="851" w:footer="992" w:gutter="0"/>
          <w:cols w:space="425" w:num="1"/>
          <w:docGrid w:type="lines" w:linePitch="312" w:charSpace="0"/>
        </w:sectPr>
      </w:pPr>
    </w:p>
    <w:p w14:paraId="23EEA6D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48" w:name="_Toc198652153"/>
      <w:r>
        <w:rPr>
          <w:rFonts w:ascii="Times New Roman" w:hAnsi="Times New Roman" w:eastAsia="黑体" w:cs="Times New Roman"/>
          <w:b w:val="0"/>
          <w:bCs w:val="0"/>
          <w:kern w:val="0"/>
          <w:sz w:val="28"/>
          <w:szCs w:val="28"/>
        </w:rPr>
        <w:t>附</w:t>
      </w:r>
      <w:r>
        <w:rPr>
          <w:rFonts w:hint="eastAsia" w:ascii="Times New Roman" w:hAnsi="Times New Roman" w:eastAsia="黑体" w:cs="Times New Roman"/>
          <w:b w:val="0"/>
          <w:bCs w:val="0"/>
          <w:kern w:val="0"/>
          <w:sz w:val="28"/>
          <w:szCs w:val="28"/>
        </w:rPr>
        <w:t>表5</w:t>
      </w:r>
      <w:r>
        <w:rPr>
          <w:rFonts w:ascii="Times New Roman" w:hAnsi="Times New Roman" w:eastAsia="黑体" w:cs="Times New Roman"/>
          <w:b w:val="0"/>
          <w:bCs w:val="0"/>
          <w:kern w:val="0"/>
          <w:sz w:val="28"/>
          <w:szCs w:val="28"/>
        </w:rPr>
        <w:t xml:space="preserve">  </w:t>
      </w:r>
      <w:bookmarkStart w:id="249" w:name="_Hlk197591197"/>
      <w:r>
        <w:rPr>
          <w:rFonts w:hint="eastAsia" w:ascii="Times New Roman" w:hAnsi="Times New Roman" w:eastAsia="黑体" w:cs="Times New Roman"/>
          <w:b w:val="0"/>
          <w:bCs w:val="0"/>
          <w:kern w:val="0"/>
          <w:sz w:val="28"/>
          <w:szCs w:val="28"/>
        </w:rPr>
        <w:t>九原区</w:t>
      </w:r>
      <w:r>
        <w:rPr>
          <w:rFonts w:hint="eastAsia"/>
          <w:sz w:val="28"/>
          <w:szCs w:val="28"/>
        </w:rPr>
        <w:t>现状水利工程基本情况表</w:t>
      </w:r>
      <w:bookmarkEnd w:id="248"/>
      <w:bookmarkEnd w:id="249"/>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310"/>
        <w:gridCol w:w="2421"/>
        <w:gridCol w:w="4042"/>
        <w:gridCol w:w="2421"/>
        <w:gridCol w:w="2673"/>
      </w:tblGrid>
      <w:tr w14:paraId="7FE17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shd w:val="clear" w:color="auto" w:fill="auto"/>
            <w:vAlign w:val="center"/>
          </w:tcPr>
          <w:p w14:paraId="2EA23BCF">
            <w:pPr>
              <w:adjustRightInd w:val="0"/>
              <w:spacing w:line="276" w:lineRule="auto"/>
              <w:jc w:val="center"/>
              <w:rPr>
                <w:rFonts w:cs="Times New Roman"/>
                <w:b/>
                <w:bCs/>
                <w:color w:val="000000"/>
                <w:szCs w:val="24"/>
              </w:rPr>
            </w:pPr>
            <w:r>
              <w:rPr>
                <w:rFonts w:cs="Times New Roman"/>
                <w:b/>
                <w:bCs/>
                <w:color w:val="000000"/>
                <w:szCs w:val="24"/>
              </w:rPr>
              <w:t>地级行政区</w:t>
            </w:r>
          </w:p>
        </w:tc>
        <w:tc>
          <w:tcPr>
            <w:tcW w:w="462" w:type="pct"/>
            <w:shd w:val="clear" w:color="auto" w:fill="auto"/>
            <w:vAlign w:val="center"/>
          </w:tcPr>
          <w:p w14:paraId="20DD4E91">
            <w:pPr>
              <w:adjustRightInd w:val="0"/>
              <w:spacing w:line="276" w:lineRule="auto"/>
              <w:jc w:val="center"/>
              <w:rPr>
                <w:rFonts w:cs="Times New Roman"/>
                <w:b/>
                <w:bCs/>
                <w:color w:val="000000"/>
                <w:szCs w:val="24"/>
              </w:rPr>
            </w:pPr>
            <w:r>
              <w:rPr>
                <w:rFonts w:cs="Times New Roman"/>
                <w:b/>
                <w:bCs/>
                <w:color w:val="000000"/>
                <w:szCs w:val="24"/>
              </w:rPr>
              <w:t>县级行政区</w:t>
            </w:r>
          </w:p>
        </w:tc>
        <w:tc>
          <w:tcPr>
            <w:tcW w:w="2280" w:type="pct"/>
            <w:gridSpan w:val="2"/>
            <w:shd w:val="clear" w:color="auto" w:fill="auto"/>
            <w:vAlign w:val="center"/>
          </w:tcPr>
          <w:p w14:paraId="31D9F0C9">
            <w:pPr>
              <w:adjustRightInd w:val="0"/>
              <w:spacing w:line="276" w:lineRule="auto"/>
              <w:jc w:val="center"/>
              <w:rPr>
                <w:rFonts w:cs="Times New Roman"/>
                <w:b/>
                <w:bCs/>
                <w:color w:val="000000"/>
                <w:szCs w:val="24"/>
              </w:rPr>
            </w:pPr>
            <w:r>
              <w:rPr>
                <w:rFonts w:cs="Times New Roman"/>
                <w:b/>
                <w:bCs/>
                <w:color w:val="000000"/>
                <w:szCs w:val="24"/>
              </w:rPr>
              <w:t>地表水</w:t>
            </w:r>
            <w:r>
              <w:rPr>
                <w:rFonts w:hint="eastAsia" w:cs="Times New Roman"/>
                <w:b/>
                <w:bCs/>
                <w:color w:val="000000"/>
                <w:szCs w:val="24"/>
              </w:rPr>
              <w:t>工程</w:t>
            </w:r>
          </w:p>
        </w:tc>
        <w:tc>
          <w:tcPr>
            <w:tcW w:w="1797" w:type="pct"/>
            <w:gridSpan w:val="2"/>
            <w:shd w:val="clear" w:color="auto" w:fill="auto"/>
            <w:vAlign w:val="center"/>
          </w:tcPr>
          <w:p w14:paraId="759719F5">
            <w:pPr>
              <w:adjustRightInd w:val="0"/>
              <w:spacing w:line="276" w:lineRule="auto"/>
              <w:jc w:val="center"/>
              <w:rPr>
                <w:rFonts w:cs="Times New Roman"/>
                <w:b/>
                <w:bCs/>
                <w:color w:val="000000"/>
                <w:szCs w:val="24"/>
              </w:rPr>
            </w:pPr>
            <w:r>
              <w:rPr>
                <w:rFonts w:cs="Times New Roman"/>
                <w:b/>
                <w:bCs/>
                <w:color w:val="000000"/>
                <w:szCs w:val="24"/>
              </w:rPr>
              <w:t>地下水</w:t>
            </w:r>
            <w:r>
              <w:rPr>
                <w:rFonts w:hint="eastAsia" w:cs="Times New Roman"/>
                <w:b/>
                <w:bCs/>
                <w:color w:val="000000"/>
                <w:szCs w:val="24"/>
              </w:rPr>
              <w:t>工程(万m</w:t>
            </w:r>
            <w:r>
              <w:rPr>
                <w:rFonts w:hint="eastAsia" w:cs="Times New Roman"/>
                <w:b/>
                <w:bCs/>
                <w:color w:val="000000"/>
                <w:szCs w:val="24"/>
                <w:vertAlign w:val="superscript"/>
              </w:rPr>
              <w:t>3</w:t>
            </w:r>
            <w:r>
              <w:rPr>
                <w:rFonts w:hint="eastAsia" w:cs="Times New Roman"/>
                <w:b/>
                <w:bCs/>
                <w:color w:val="000000"/>
                <w:szCs w:val="24"/>
              </w:rPr>
              <w:t>)</w:t>
            </w:r>
          </w:p>
        </w:tc>
      </w:tr>
      <w:tr w14:paraId="5F40F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Merge w:val="restart"/>
            <w:shd w:val="clear" w:color="auto" w:fill="auto"/>
            <w:vAlign w:val="center"/>
          </w:tcPr>
          <w:p w14:paraId="210CB27A">
            <w:pPr>
              <w:adjustRightInd w:val="0"/>
              <w:spacing w:line="276" w:lineRule="auto"/>
              <w:jc w:val="center"/>
              <w:rPr>
                <w:rFonts w:cs="Times New Roman"/>
                <w:color w:val="000000"/>
                <w:szCs w:val="24"/>
              </w:rPr>
            </w:pPr>
            <w:r>
              <w:rPr>
                <w:rFonts w:cs="Times New Roman"/>
                <w:color w:val="000000"/>
                <w:szCs w:val="24"/>
              </w:rPr>
              <w:t>包头市</w:t>
            </w:r>
          </w:p>
        </w:tc>
        <w:tc>
          <w:tcPr>
            <w:tcW w:w="462" w:type="pct"/>
            <w:vMerge w:val="restart"/>
            <w:shd w:val="clear" w:color="auto" w:fill="auto"/>
            <w:vAlign w:val="center"/>
          </w:tcPr>
          <w:p w14:paraId="7F27A3FF">
            <w:pPr>
              <w:adjustRightInd w:val="0"/>
              <w:spacing w:line="276" w:lineRule="auto"/>
              <w:jc w:val="center"/>
              <w:rPr>
                <w:rFonts w:cs="Times New Roman"/>
                <w:color w:val="000000"/>
                <w:szCs w:val="24"/>
              </w:rPr>
            </w:pPr>
            <w:r>
              <w:rPr>
                <w:rFonts w:cs="Times New Roman"/>
                <w:color w:val="000000"/>
                <w:szCs w:val="24"/>
              </w:rPr>
              <w:t>九原区</w:t>
            </w:r>
          </w:p>
        </w:tc>
        <w:tc>
          <w:tcPr>
            <w:tcW w:w="2280" w:type="pct"/>
            <w:gridSpan w:val="2"/>
            <w:shd w:val="clear" w:color="auto" w:fill="auto"/>
            <w:noWrap/>
            <w:vAlign w:val="center"/>
          </w:tcPr>
          <w:p w14:paraId="52C01895">
            <w:pPr>
              <w:adjustRightInd w:val="0"/>
              <w:spacing w:line="276" w:lineRule="auto"/>
              <w:jc w:val="center"/>
              <w:rPr>
                <w:rFonts w:cs="Times New Roman"/>
                <w:color w:val="000000"/>
                <w:szCs w:val="24"/>
              </w:rPr>
            </w:pPr>
            <w:r>
              <w:rPr>
                <w:rFonts w:hint="eastAsia" w:cs="Times New Roman"/>
                <w:color w:val="000000"/>
                <w:szCs w:val="24"/>
              </w:rPr>
              <w:t>三湖河灌区</w:t>
            </w:r>
          </w:p>
        </w:tc>
        <w:tc>
          <w:tcPr>
            <w:tcW w:w="1797" w:type="pct"/>
            <w:gridSpan w:val="2"/>
            <w:shd w:val="clear" w:color="auto" w:fill="auto"/>
            <w:noWrap/>
            <w:vAlign w:val="center"/>
          </w:tcPr>
          <w:p w14:paraId="6060612B">
            <w:pPr>
              <w:adjustRightInd w:val="0"/>
              <w:spacing w:line="276" w:lineRule="auto"/>
              <w:jc w:val="center"/>
              <w:rPr>
                <w:rFonts w:cs="Times New Roman"/>
                <w:color w:val="000000"/>
                <w:szCs w:val="24"/>
              </w:rPr>
            </w:pPr>
            <w:r>
              <w:rPr>
                <w:rFonts w:hint="eastAsia" w:cs="Times New Roman"/>
                <w:color w:val="000000"/>
                <w:szCs w:val="24"/>
              </w:rPr>
              <w:t>农灌机电井（3358眼）</w:t>
            </w:r>
          </w:p>
        </w:tc>
      </w:tr>
      <w:tr w14:paraId="6CEA1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Merge w:val="continue"/>
            <w:shd w:val="clear" w:color="auto" w:fill="auto"/>
            <w:vAlign w:val="center"/>
          </w:tcPr>
          <w:p w14:paraId="304C412B">
            <w:pPr>
              <w:adjustRightInd w:val="0"/>
              <w:spacing w:line="276" w:lineRule="auto"/>
              <w:jc w:val="center"/>
              <w:rPr>
                <w:rFonts w:cs="Times New Roman"/>
                <w:color w:val="000000"/>
                <w:szCs w:val="24"/>
              </w:rPr>
            </w:pPr>
          </w:p>
        </w:tc>
        <w:tc>
          <w:tcPr>
            <w:tcW w:w="462" w:type="pct"/>
            <w:vMerge w:val="continue"/>
            <w:shd w:val="clear" w:color="auto" w:fill="auto"/>
            <w:vAlign w:val="center"/>
          </w:tcPr>
          <w:p w14:paraId="786CCAC9">
            <w:pPr>
              <w:adjustRightInd w:val="0"/>
              <w:spacing w:line="276" w:lineRule="auto"/>
              <w:jc w:val="center"/>
              <w:rPr>
                <w:rFonts w:cs="Times New Roman"/>
                <w:color w:val="000000"/>
                <w:szCs w:val="24"/>
              </w:rPr>
            </w:pPr>
          </w:p>
        </w:tc>
        <w:tc>
          <w:tcPr>
            <w:tcW w:w="854" w:type="pct"/>
            <w:shd w:val="clear" w:color="auto" w:fill="auto"/>
            <w:noWrap/>
            <w:vAlign w:val="center"/>
          </w:tcPr>
          <w:p w14:paraId="00AC7BC2">
            <w:pPr>
              <w:adjustRightInd w:val="0"/>
              <w:spacing w:line="276" w:lineRule="auto"/>
              <w:jc w:val="center"/>
              <w:rPr>
                <w:rFonts w:cs="Times New Roman"/>
                <w:color w:val="000000"/>
                <w:szCs w:val="24"/>
              </w:rPr>
            </w:pPr>
            <w:r>
              <w:rPr>
                <w:rFonts w:hint="eastAsia" w:cs="Times New Roman"/>
                <w:color w:val="000000"/>
                <w:szCs w:val="24"/>
              </w:rPr>
              <w:t>现状年取水量(万m</w:t>
            </w:r>
            <w:r>
              <w:rPr>
                <w:rFonts w:hint="eastAsia" w:cs="Times New Roman"/>
                <w:color w:val="000000"/>
                <w:szCs w:val="24"/>
                <w:vertAlign w:val="superscript"/>
              </w:rPr>
              <w:t>3</w:t>
            </w:r>
            <w:r>
              <w:rPr>
                <w:rFonts w:hint="eastAsia" w:cs="Times New Roman"/>
                <w:color w:val="000000"/>
                <w:szCs w:val="24"/>
              </w:rPr>
              <w:t>)</w:t>
            </w:r>
          </w:p>
        </w:tc>
        <w:tc>
          <w:tcPr>
            <w:tcW w:w="1426" w:type="pct"/>
          </w:tcPr>
          <w:p w14:paraId="65B5E449">
            <w:pPr>
              <w:adjustRightInd w:val="0"/>
              <w:spacing w:line="276" w:lineRule="auto"/>
              <w:jc w:val="center"/>
              <w:rPr>
                <w:rFonts w:cs="Times New Roman"/>
                <w:color w:val="000000"/>
                <w:szCs w:val="24"/>
              </w:rPr>
            </w:pPr>
            <w:r>
              <w:rPr>
                <w:rFonts w:hint="eastAsia" w:cs="Times New Roman"/>
                <w:color w:val="000000"/>
                <w:szCs w:val="24"/>
              </w:rPr>
              <w:t>2280</w:t>
            </w:r>
          </w:p>
        </w:tc>
        <w:tc>
          <w:tcPr>
            <w:tcW w:w="854" w:type="pct"/>
            <w:shd w:val="clear" w:color="auto" w:fill="auto"/>
            <w:noWrap/>
            <w:vAlign w:val="center"/>
          </w:tcPr>
          <w:p w14:paraId="741462F7">
            <w:pPr>
              <w:adjustRightInd w:val="0"/>
              <w:spacing w:line="276" w:lineRule="auto"/>
              <w:jc w:val="center"/>
              <w:rPr>
                <w:rFonts w:cs="Times New Roman"/>
                <w:color w:val="000000"/>
                <w:szCs w:val="24"/>
              </w:rPr>
            </w:pPr>
            <w:r>
              <w:rPr>
                <w:rFonts w:hint="eastAsia" w:cs="Times New Roman"/>
                <w:color w:val="000000"/>
                <w:szCs w:val="24"/>
              </w:rPr>
              <w:t>现状年取水量(万m</w:t>
            </w:r>
            <w:r>
              <w:rPr>
                <w:rFonts w:hint="eastAsia" w:cs="Times New Roman"/>
                <w:color w:val="000000"/>
                <w:szCs w:val="24"/>
                <w:vertAlign w:val="superscript"/>
              </w:rPr>
              <w:t>3</w:t>
            </w:r>
            <w:r>
              <w:rPr>
                <w:rFonts w:hint="eastAsia" w:cs="Times New Roman"/>
                <w:color w:val="000000"/>
                <w:szCs w:val="24"/>
              </w:rPr>
              <w:t>)</w:t>
            </w:r>
          </w:p>
        </w:tc>
        <w:tc>
          <w:tcPr>
            <w:tcW w:w="943" w:type="pct"/>
            <w:shd w:val="clear" w:color="auto" w:fill="auto"/>
            <w:noWrap/>
            <w:vAlign w:val="center"/>
          </w:tcPr>
          <w:p w14:paraId="38454A3C">
            <w:pPr>
              <w:adjustRightInd w:val="0"/>
              <w:spacing w:line="276" w:lineRule="auto"/>
              <w:jc w:val="center"/>
              <w:rPr>
                <w:rFonts w:cs="Times New Roman"/>
                <w:color w:val="000000"/>
                <w:szCs w:val="24"/>
              </w:rPr>
            </w:pPr>
            <w:r>
              <w:rPr>
                <w:rFonts w:hint="eastAsia" w:cs="Times New Roman"/>
                <w:color w:val="000000"/>
                <w:szCs w:val="24"/>
              </w:rPr>
              <w:t>4107</w:t>
            </w:r>
          </w:p>
        </w:tc>
      </w:tr>
    </w:tbl>
    <w:p w14:paraId="3E0D589A">
      <w:pPr>
        <w:widowControl/>
        <w:adjustRightInd w:val="0"/>
        <w:rPr>
          <w:rFonts w:eastAsia="仿宋_GB2312" w:cs="Times New Roman"/>
          <w:szCs w:val="24"/>
        </w:rPr>
      </w:pPr>
    </w:p>
    <w:p w14:paraId="7C40D5A9">
      <w:pPr>
        <w:widowControl/>
        <w:adjustRightInd w:val="0"/>
        <w:rPr>
          <w:rFonts w:eastAsia="仿宋_GB2312" w:cs="Times New Roman"/>
          <w:szCs w:val="24"/>
        </w:rPr>
      </w:pPr>
    </w:p>
    <w:p w14:paraId="3A4DECFF">
      <w:pPr>
        <w:widowControl/>
        <w:snapToGrid/>
        <w:spacing w:line="240" w:lineRule="auto"/>
        <w:jc w:val="left"/>
        <w:rPr>
          <w:rFonts w:eastAsia="黑体" w:cs="Times New Roman"/>
          <w:b/>
          <w:bCs/>
          <w:sz w:val="32"/>
          <w:szCs w:val="48"/>
        </w:rPr>
      </w:pPr>
    </w:p>
    <w:p w14:paraId="5A89D41E">
      <w:pPr>
        <w:widowControl/>
        <w:snapToGrid/>
        <w:spacing w:line="240" w:lineRule="auto"/>
        <w:jc w:val="left"/>
        <w:rPr>
          <w:rFonts w:eastAsia="黑体" w:cs="Times New Roman"/>
          <w:b/>
          <w:bCs/>
          <w:sz w:val="32"/>
          <w:szCs w:val="48"/>
        </w:rPr>
        <w:sectPr>
          <w:headerReference r:id="rId23" w:type="default"/>
          <w:type w:val="continuous"/>
          <w:pgSz w:w="16838" w:h="11906" w:orient="landscape"/>
          <w:pgMar w:top="1800" w:right="1440" w:bottom="1800" w:left="1440" w:header="851" w:footer="992" w:gutter="0"/>
          <w:cols w:space="425" w:num="1"/>
          <w:docGrid w:type="lines" w:linePitch="326" w:charSpace="0"/>
        </w:sectPr>
      </w:pPr>
    </w:p>
    <w:p w14:paraId="72DC1D2F">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0" w:name="_Toc198652154"/>
      <w:r>
        <w:rPr>
          <w:rFonts w:hint="eastAsia" w:ascii="Times New Roman" w:hAnsi="Times New Roman" w:eastAsia="黑体" w:cs="Times New Roman"/>
          <w:b w:val="0"/>
          <w:bCs w:val="0"/>
          <w:kern w:val="0"/>
          <w:sz w:val="28"/>
          <w:szCs w:val="28"/>
        </w:rPr>
        <w:t>附表6  九原区水网规划项目表</w:t>
      </w:r>
      <w:bookmarkEnd w:id="250"/>
    </w:p>
    <w:tbl>
      <w:tblPr>
        <w:tblStyle w:val="19"/>
        <w:tblW w:w="5000" w:type="pct"/>
        <w:tblInd w:w="0" w:type="dxa"/>
        <w:tblLayout w:type="autofit"/>
        <w:tblCellMar>
          <w:top w:w="0" w:type="dxa"/>
          <w:left w:w="108" w:type="dxa"/>
          <w:bottom w:w="0" w:type="dxa"/>
          <w:right w:w="108" w:type="dxa"/>
        </w:tblCellMar>
      </w:tblPr>
      <w:tblGrid>
        <w:gridCol w:w="2432"/>
        <w:gridCol w:w="715"/>
        <w:gridCol w:w="13310"/>
        <w:gridCol w:w="1620"/>
        <w:gridCol w:w="1535"/>
        <w:gridCol w:w="1535"/>
      </w:tblGrid>
      <w:tr w14:paraId="00275616">
        <w:tblPrEx>
          <w:tblCellMar>
            <w:top w:w="0" w:type="dxa"/>
            <w:left w:w="108" w:type="dxa"/>
            <w:bottom w:w="0" w:type="dxa"/>
            <w:right w:w="108" w:type="dxa"/>
          </w:tblCellMar>
        </w:tblPrEx>
        <w:trPr>
          <w:trHeight w:val="20" w:hRule="atLeast"/>
        </w:trPr>
        <w:tc>
          <w:tcPr>
            <w:tcW w:w="575"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FD340A3">
            <w:pPr>
              <w:widowControl/>
              <w:adjustRightInd w:val="0"/>
              <w:jc w:val="center"/>
              <w:rPr>
                <w:rFonts w:cs="Times New Roman"/>
                <w:b/>
                <w:bCs/>
                <w:kern w:val="0"/>
                <w:szCs w:val="24"/>
              </w:rPr>
            </w:pPr>
            <w:r>
              <w:rPr>
                <w:rFonts w:cs="Times New Roman"/>
                <w:b/>
                <w:bCs/>
                <w:kern w:val="0"/>
                <w:szCs w:val="24"/>
              </w:rPr>
              <w:t>分类</w:t>
            </w:r>
          </w:p>
        </w:tc>
        <w:tc>
          <w:tcPr>
            <w:tcW w:w="169"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36636C28">
            <w:pPr>
              <w:widowControl/>
              <w:adjustRightInd w:val="0"/>
              <w:jc w:val="center"/>
              <w:rPr>
                <w:rFonts w:cs="Times New Roman"/>
                <w:b/>
                <w:bCs/>
                <w:kern w:val="0"/>
                <w:szCs w:val="24"/>
              </w:rPr>
            </w:pPr>
            <w:r>
              <w:rPr>
                <w:rFonts w:cs="Times New Roman"/>
                <w:b/>
                <w:bCs/>
                <w:kern w:val="0"/>
                <w:szCs w:val="24"/>
              </w:rPr>
              <w:t>序号</w:t>
            </w:r>
          </w:p>
        </w:tc>
        <w:tc>
          <w:tcPr>
            <w:tcW w:w="314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390430">
            <w:pPr>
              <w:widowControl/>
              <w:adjustRightInd w:val="0"/>
              <w:jc w:val="center"/>
              <w:rPr>
                <w:rFonts w:cs="Times New Roman"/>
                <w:b/>
                <w:bCs/>
                <w:kern w:val="0"/>
                <w:szCs w:val="24"/>
              </w:rPr>
            </w:pPr>
            <w:r>
              <w:rPr>
                <w:rFonts w:cs="Times New Roman"/>
                <w:b/>
                <w:bCs/>
                <w:kern w:val="0"/>
                <w:szCs w:val="24"/>
              </w:rPr>
              <w:t>工程类别</w:t>
            </w:r>
          </w:p>
        </w:tc>
        <w:tc>
          <w:tcPr>
            <w:tcW w:w="1109" w:type="pct"/>
            <w:gridSpan w:val="3"/>
            <w:tcBorders>
              <w:top w:val="single" w:color="auto" w:sz="4" w:space="0"/>
              <w:left w:val="nil"/>
              <w:bottom w:val="single" w:color="auto" w:sz="4" w:space="0"/>
              <w:right w:val="single" w:color="auto" w:sz="4" w:space="0"/>
            </w:tcBorders>
            <w:shd w:val="clear" w:color="auto" w:fill="auto"/>
            <w:vAlign w:val="center"/>
          </w:tcPr>
          <w:p w14:paraId="69626E1E">
            <w:pPr>
              <w:widowControl/>
              <w:adjustRightInd w:val="0"/>
              <w:jc w:val="center"/>
              <w:rPr>
                <w:rFonts w:cs="Times New Roman"/>
                <w:b/>
                <w:bCs/>
                <w:kern w:val="0"/>
                <w:szCs w:val="24"/>
              </w:rPr>
            </w:pPr>
            <w:r>
              <w:rPr>
                <w:rFonts w:cs="Times New Roman"/>
                <w:b/>
                <w:bCs/>
                <w:kern w:val="0"/>
                <w:szCs w:val="24"/>
              </w:rPr>
              <w:t>年度实施投资安排（亿元）</w:t>
            </w:r>
          </w:p>
        </w:tc>
      </w:tr>
      <w:tr w14:paraId="53B4D06D">
        <w:tblPrEx>
          <w:tblCellMar>
            <w:top w:w="0" w:type="dxa"/>
            <w:left w:w="108" w:type="dxa"/>
            <w:bottom w:w="0" w:type="dxa"/>
            <w:right w:w="108" w:type="dxa"/>
          </w:tblCellMar>
        </w:tblPrEx>
        <w:trPr>
          <w:trHeight w:val="20" w:hRule="atLeast"/>
        </w:trPr>
        <w:tc>
          <w:tcPr>
            <w:tcW w:w="575"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001E2DAA">
            <w:pPr>
              <w:widowControl/>
              <w:adjustRightInd w:val="0"/>
              <w:jc w:val="left"/>
              <w:rPr>
                <w:rFonts w:cs="Times New Roman"/>
                <w:b/>
                <w:bCs/>
                <w:kern w:val="0"/>
                <w:szCs w:val="24"/>
              </w:rPr>
            </w:pPr>
          </w:p>
        </w:tc>
        <w:tc>
          <w:tcPr>
            <w:tcW w:w="169"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20CA718F">
            <w:pPr>
              <w:widowControl/>
              <w:adjustRightInd w:val="0"/>
              <w:jc w:val="left"/>
              <w:rPr>
                <w:rFonts w:cs="Times New Roman"/>
                <w:b/>
                <w:bCs/>
                <w:kern w:val="0"/>
                <w:szCs w:val="24"/>
              </w:rPr>
            </w:pPr>
          </w:p>
        </w:tc>
        <w:tc>
          <w:tcPr>
            <w:tcW w:w="314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732F8A">
            <w:pPr>
              <w:widowControl/>
              <w:adjustRightInd w:val="0"/>
              <w:jc w:val="left"/>
              <w:rPr>
                <w:rFonts w:cs="Times New Roman"/>
                <w:b/>
                <w:bCs/>
                <w:kern w:val="0"/>
                <w:szCs w:val="24"/>
              </w:rPr>
            </w:pPr>
          </w:p>
        </w:tc>
        <w:tc>
          <w:tcPr>
            <w:tcW w:w="383" w:type="pct"/>
            <w:tcBorders>
              <w:top w:val="nil"/>
              <w:left w:val="nil"/>
              <w:bottom w:val="single" w:color="auto" w:sz="4" w:space="0"/>
              <w:right w:val="single" w:color="auto" w:sz="4" w:space="0"/>
            </w:tcBorders>
            <w:shd w:val="clear" w:color="auto" w:fill="auto"/>
            <w:vAlign w:val="center"/>
          </w:tcPr>
          <w:p w14:paraId="0AF38296">
            <w:pPr>
              <w:widowControl/>
              <w:adjustRightInd w:val="0"/>
              <w:jc w:val="center"/>
              <w:rPr>
                <w:rFonts w:cs="Times New Roman"/>
                <w:b/>
                <w:bCs/>
                <w:kern w:val="0"/>
                <w:szCs w:val="24"/>
              </w:rPr>
            </w:pPr>
            <w:r>
              <w:rPr>
                <w:rFonts w:cs="Times New Roman"/>
                <w:b/>
                <w:bCs/>
                <w:kern w:val="0"/>
                <w:szCs w:val="24"/>
              </w:rPr>
              <w:t>2030年前</w:t>
            </w:r>
          </w:p>
        </w:tc>
        <w:tc>
          <w:tcPr>
            <w:tcW w:w="363" w:type="pct"/>
            <w:tcBorders>
              <w:top w:val="nil"/>
              <w:left w:val="nil"/>
              <w:bottom w:val="single" w:color="auto" w:sz="4" w:space="0"/>
              <w:right w:val="single" w:color="auto" w:sz="4" w:space="0"/>
            </w:tcBorders>
            <w:shd w:val="clear" w:color="auto" w:fill="auto"/>
            <w:vAlign w:val="center"/>
          </w:tcPr>
          <w:p w14:paraId="3AE56E3A">
            <w:pPr>
              <w:widowControl/>
              <w:adjustRightInd w:val="0"/>
              <w:jc w:val="center"/>
              <w:rPr>
                <w:rFonts w:cs="Times New Roman"/>
                <w:b/>
                <w:bCs/>
                <w:kern w:val="0"/>
                <w:szCs w:val="24"/>
              </w:rPr>
            </w:pPr>
            <w:r>
              <w:rPr>
                <w:rFonts w:cs="Times New Roman"/>
                <w:b/>
                <w:bCs/>
                <w:kern w:val="0"/>
                <w:szCs w:val="24"/>
              </w:rPr>
              <w:t>2035年前</w:t>
            </w:r>
          </w:p>
        </w:tc>
        <w:tc>
          <w:tcPr>
            <w:tcW w:w="363" w:type="pct"/>
            <w:tcBorders>
              <w:top w:val="nil"/>
              <w:left w:val="nil"/>
              <w:bottom w:val="single" w:color="auto" w:sz="4" w:space="0"/>
              <w:right w:val="single" w:color="auto" w:sz="4" w:space="0"/>
            </w:tcBorders>
            <w:shd w:val="clear" w:color="auto" w:fill="auto"/>
            <w:vAlign w:val="center"/>
          </w:tcPr>
          <w:p w14:paraId="0EC26BF8">
            <w:pPr>
              <w:widowControl/>
              <w:adjustRightInd w:val="0"/>
              <w:jc w:val="center"/>
              <w:rPr>
                <w:rFonts w:cs="Times New Roman"/>
                <w:b/>
                <w:bCs/>
                <w:kern w:val="0"/>
                <w:szCs w:val="24"/>
              </w:rPr>
            </w:pPr>
            <w:r>
              <w:rPr>
                <w:rFonts w:cs="Times New Roman"/>
                <w:b/>
                <w:bCs/>
                <w:kern w:val="0"/>
                <w:szCs w:val="24"/>
              </w:rPr>
              <w:t>合计</w:t>
            </w:r>
          </w:p>
        </w:tc>
      </w:tr>
      <w:tr w14:paraId="5C2EB401">
        <w:tblPrEx>
          <w:tblCellMar>
            <w:top w:w="0" w:type="dxa"/>
            <w:left w:w="108" w:type="dxa"/>
            <w:bottom w:w="0" w:type="dxa"/>
            <w:right w:w="108" w:type="dxa"/>
          </w:tblCellMar>
        </w:tblPrEx>
        <w:trPr>
          <w:trHeight w:val="20"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5AACBC70">
            <w:pPr>
              <w:widowControl/>
              <w:adjustRightInd w:val="0"/>
              <w:jc w:val="center"/>
              <w:rPr>
                <w:rFonts w:cs="Times New Roman"/>
                <w:kern w:val="0"/>
                <w:szCs w:val="24"/>
              </w:rPr>
            </w:pPr>
            <w:r>
              <w:rPr>
                <w:rFonts w:cs="Times New Roman"/>
                <w:kern w:val="0"/>
                <w:szCs w:val="24"/>
              </w:rPr>
              <w:t>节水控水</w:t>
            </w:r>
          </w:p>
        </w:tc>
        <w:tc>
          <w:tcPr>
            <w:tcW w:w="169" w:type="pct"/>
            <w:tcBorders>
              <w:top w:val="nil"/>
              <w:left w:val="nil"/>
              <w:bottom w:val="single" w:color="auto" w:sz="4" w:space="0"/>
              <w:right w:val="single" w:color="auto" w:sz="4" w:space="0"/>
            </w:tcBorders>
            <w:shd w:val="clear" w:color="auto" w:fill="auto"/>
            <w:vAlign w:val="center"/>
          </w:tcPr>
          <w:p w14:paraId="2FC60289">
            <w:pPr>
              <w:widowControl/>
              <w:adjustRightInd w:val="0"/>
              <w:jc w:val="center"/>
              <w:rPr>
                <w:rFonts w:cs="Times New Roman"/>
                <w:kern w:val="0"/>
                <w:szCs w:val="24"/>
              </w:rPr>
            </w:pPr>
            <w:r>
              <w:rPr>
                <w:rFonts w:cs="Times New Roman"/>
                <w:kern w:val="0"/>
                <w:szCs w:val="24"/>
              </w:rPr>
              <w:t>1</w:t>
            </w:r>
          </w:p>
        </w:tc>
        <w:tc>
          <w:tcPr>
            <w:tcW w:w="3147" w:type="pct"/>
            <w:tcBorders>
              <w:top w:val="nil"/>
              <w:left w:val="nil"/>
              <w:bottom w:val="single" w:color="auto" w:sz="4" w:space="0"/>
              <w:right w:val="single" w:color="auto" w:sz="4" w:space="0"/>
            </w:tcBorders>
            <w:shd w:val="clear" w:color="auto" w:fill="auto"/>
            <w:vAlign w:val="center"/>
          </w:tcPr>
          <w:p w14:paraId="5A5C002F">
            <w:pPr>
              <w:widowControl/>
              <w:adjustRightInd w:val="0"/>
              <w:jc w:val="center"/>
              <w:rPr>
                <w:rFonts w:cs="Times New Roman"/>
                <w:kern w:val="0"/>
                <w:szCs w:val="24"/>
              </w:rPr>
            </w:pPr>
            <w:r>
              <w:rPr>
                <w:rFonts w:cs="Times New Roman"/>
                <w:kern w:val="0"/>
                <w:szCs w:val="24"/>
              </w:rPr>
              <w:t>三湖河灌区续建配套与现代化改造工程</w:t>
            </w:r>
          </w:p>
        </w:tc>
        <w:tc>
          <w:tcPr>
            <w:tcW w:w="383" w:type="pct"/>
            <w:tcBorders>
              <w:top w:val="nil"/>
              <w:left w:val="nil"/>
              <w:bottom w:val="single" w:color="auto" w:sz="4" w:space="0"/>
              <w:right w:val="single" w:color="auto" w:sz="4" w:space="0"/>
            </w:tcBorders>
            <w:shd w:val="clear" w:color="auto" w:fill="auto"/>
            <w:vAlign w:val="center"/>
          </w:tcPr>
          <w:p w14:paraId="167FF0AE">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45410260">
            <w:pPr>
              <w:widowControl/>
              <w:adjustRightInd w:val="0"/>
              <w:jc w:val="center"/>
              <w:rPr>
                <w:rFonts w:cs="Times New Roman"/>
                <w:kern w:val="0"/>
                <w:szCs w:val="24"/>
              </w:rPr>
            </w:pPr>
            <w:r>
              <w:rPr>
                <w:rFonts w:cs="Times New Roman"/>
                <w:kern w:val="0"/>
                <w:szCs w:val="24"/>
              </w:rPr>
              <w:t>1.33</w:t>
            </w:r>
          </w:p>
        </w:tc>
        <w:tc>
          <w:tcPr>
            <w:tcW w:w="363" w:type="pct"/>
            <w:tcBorders>
              <w:top w:val="nil"/>
              <w:left w:val="nil"/>
              <w:bottom w:val="single" w:color="auto" w:sz="4" w:space="0"/>
              <w:right w:val="single" w:color="auto" w:sz="4" w:space="0"/>
            </w:tcBorders>
            <w:shd w:val="clear" w:color="auto" w:fill="auto"/>
            <w:vAlign w:val="center"/>
          </w:tcPr>
          <w:p w14:paraId="6A04FB6F">
            <w:pPr>
              <w:widowControl/>
              <w:adjustRightInd w:val="0"/>
              <w:jc w:val="center"/>
              <w:rPr>
                <w:rFonts w:cs="Times New Roman"/>
                <w:kern w:val="0"/>
                <w:szCs w:val="24"/>
              </w:rPr>
            </w:pPr>
            <w:r>
              <w:rPr>
                <w:rFonts w:cs="Times New Roman"/>
                <w:kern w:val="0"/>
                <w:szCs w:val="24"/>
              </w:rPr>
              <w:t>1.63</w:t>
            </w:r>
          </w:p>
        </w:tc>
      </w:tr>
      <w:tr w14:paraId="38CFE2C7">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06BC6CAC">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05A1C1F4">
            <w:pPr>
              <w:widowControl/>
              <w:adjustRightInd w:val="0"/>
              <w:jc w:val="center"/>
              <w:rPr>
                <w:rFonts w:cs="Times New Roman"/>
                <w:kern w:val="0"/>
                <w:szCs w:val="24"/>
              </w:rPr>
            </w:pPr>
            <w:r>
              <w:rPr>
                <w:rFonts w:cs="Times New Roman"/>
                <w:kern w:val="0"/>
                <w:szCs w:val="24"/>
              </w:rPr>
              <w:t>2</w:t>
            </w:r>
          </w:p>
        </w:tc>
        <w:tc>
          <w:tcPr>
            <w:tcW w:w="3147" w:type="pct"/>
            <w:tcBorders>
              <w:top w:val="nil"/>
              <w:left w:val="nil"/>
              <w:bottom w:val="single" w:color="auto" w:sz="4" w:space="0"/>
              <w:right w:val="single" w:color="auto" w:sz="4" w:space="0"/>
            </w:tcBorders>
            <w:shd w:val="clear" w:color="auto" w:fill="auto"/>
            <w:vAlign w:val="center"/>
          </w:tcPr>
          <w:p w14:paraId="299A5B59">
            <w:pPr>
              <w:widowControl/>
              <w:adjustRightInd w:val="0"/>
              <w:jc w:val="center"/>
              <w:rPr>
                <w:rFonts w:cs="Times New Roman"/>
                <w:kern w:val="0"/>
                <w:szCs w:val="24"/>
              </w:rPr>
            </w:pPr>
            <w:r>
              <w:rPr>
                <w:rFonts w:cs="Times New Roman"/>
                <w:kern w:val="0"/>
                <w:szCs w:val="24"/>
              </w:rPr>
              <w:t>高标准农田建设</w:t>
            </w:r>
          </w:p>
        </w:tc>
        <w:tc>
          <w:tcPr>
            <w:tcW w:w="383" w:type="pct"/>
            <w:tcBorders>
              <w:top w:val="nil"/>
              <w:left w:val="nil"/>
              <w:bottom w:val="single" w:color="auto" w:sz="4" w:space="0"/>
              <w:right w:val="single" w:color="auto" w:sz="4" w:space="0"/>
            </w:tcBorders>
            <w:shd w:val="clear" w:color="auto" w:fill="auto"/>
            <w:vAlign w:val="center"/>
          </w:tcPr>
          <w:p w14:paraId="21AF3788">
            <w:pPr>
              <w:widowControl/>
              <w:adjustRightInd w:val="0"/>
              <w:jc w:val="center"/>
              <w:rPr>
                <w:rFonts w:cs="Times New Roman"/>
                <w:kern w:val="0"/>
                <w:szCs w:val="24"/>
              </w:rPr>
            </w:pPr>
            <w:r>
              <w:rPr>
                <w:rFonts w:cs="Times New Roman"/>
                <w:kern w:val="0"/>
                <w:szCs w:val="24"/>
              </w:rPr>
              <w:t>1.29</w:t>
            </w:r>
          </w:p>
        </w:tc>
        <w:tc>
          <w:tcPr>
            <w:tcW w:w="363" w:type="pct"/>
            <w:tcBorders>
              <w:top w:val="nil"/>
              <w:left w:val="nil"/>
              <w:bottom w:val="single" w:color="auto" w:sz="4" w:space="0"/>
              <w:right w:val="single" w:color="auto" w:sz="4" w:space="0"/>
            </w:tcBorders>
            <w:shd w:val="clear" w:color="auto" w:fill="auto"/>
            <w:vAlign w:val="center"/>
          </w:tcPr>
          <w:p w14:paraId="59F219D9">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37D67193">
            <w:pPr>
              <w:widowControl/>
              <w:adjustRightInd w:val="0"/>
              <w:jc w:val="center"/>
              <w:rPr>
                <w:rFonts w:cs="Times New Roman"/>
                <w:kern w:val="0"/>
                <w:szCs w:val="24"/>
              </w:rPr>
            </w:pPr>
            <w:r>
              <w:rPr>
                <w:rFonts w:cs="Times New Roman"/>
                <w:kern w:val="0"/>
                <w:szCs w:val="24"/>
              </w:rPr>
              <w:t>1.59</w:t>
            </w:r>
          </w:p>
        </w:tc>
      </w:tr>
      <w:tr w14:paraId="4BF54CF7">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1A3BC5FC">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02271849">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30DB63CA">
            <w:pPr>
              <w:widowControl/>
              <w:adjustRightInd w:val="0"/>
              <w:jc w:val="center"/>
              <w:rPr>
                <w:rFonts w:cs="Times New Roman"/>
                <w:b/>
                <w:bCs/>
                <w:kern w:val="0"/>
                <w:szCs w:val="24"/>
              </w:rPr>
            </w:pPr>
            <w:r>
              <w:rPr>
                <w:rFonts w:cs="Times New Roman"/>
                <w:b/>
                <w:bCs/>
                <w:kern w:val="0"/>
                <w:szCs w:val="24"/>
              </w:rPr>
              <w:t>1.59</w:t>
            </w:r>
          </w:p>
        </w:tc>
        <w:tc>
          <w:tcPr>
            <w:tcW w:w="363" w:type="pct"/>
            <w:tcBorders>
              <w:top w:val="nil"/>
              <w:left w:val="nil"/>
              <w:bottom w:val="single" w:color="auto" w:sz="4" w:space="0"/>
              <w:right w:val="single" w:color="auto" w:sz="4" w:space="0"/>
            </w:tcBorders>
            <w:shd w:val="clear" w:color="auto" w:fill="auto"/>
            <w:vAlign w:val="center"/>
          </w:tcPr>
          <w:p w14:paraId="6B9009DC">
            <w:pPr>
              <w:widowControl/>
              <w:adjustRightInd w:val="0"/>
              <w:jc w:val="center"/>
              <w:rPr>
                <w:rFonts w:cs="Times New Roman"/>
                <w:b/>
                <w:bCs/>
                <w:kern w:val="0"/>
                <w:szCs w:val="24"/>
              </w:rPr>
            </w:pPr>
            <w:r>
              <w:rPr>
                <w:rFonts w:cs="Times New Roman"/>
                <w:b/>
                <w:bCs/>
                <w:kern w:val="0"/>
                <w:szCs w:val="24"/>
              </w:rPr>
              <w:t>1.63</w:t>
            </w:r>
          </w:p>
        </w:tc>
        <w:tc>
          <w:tcPr>
            <w:tcW w:w="363" w:type="pct"/>
            <w:tcBorders>
              <w:top w:val="nil"/>
              <w:left w:val="nil"/>
              <w:bottom w:val="single" w:color="auto" w:sz="4" w:space="0"/>
              <w:right w:val="single" w:color="auto" w:sz="4" w:space="0"/>
            </w:tcBorders>
            <w:shd w:val="clear" w:color="auto" w:fill="auto"/>
            <w:vAlign w:val="center"/>
          </w:tcPr>
          <w:p w14:paraId="0FD726B9">
            <w:pPr>
              <w:widowControl/>
              <w:adjustRightInd w:val="0"/>
              <w:jc w:val="center"/>
              <w:rPr>
                <w:rFonts w:cs="Times New Roman"/>
                <w:b/>
                <w:bCs/>
                <w:kern w:val="0"/>
                <w:szCs w:val="24"/>
              </w:rPr>
            </w:pPr>
            <w:r>
              <w:rPr>
                <w:rFonts w:cs="Times New Roman"/>
                <w:b/>
                <w:bCs/>
                <w:kern w:val="0"/>
                <w:szCs w:val="24"/>
              </w:rPr>
              <w:t>3.22</w:t>
            </w:r>
          </w:p>
        </w:tc>
      </w:tr>
      <w:tr w14:paraId="2B9AD000">
        <w:tblPrEx>
          <w:tblCellMar>
            <w:top w:w="0" w:type="dxa"/>
            <w:left w:w="108" w:type="dxa"/>
            <w:bottom w:w="0" w:type="dxa"/>
            <w:right w:w="108" w:type="dxa"/>
          </w:tblCellMar>
        </w:tblPrEx>
        <w:trPr>
          <w:trHeight w:val="20" w:hRule="atLeast"/>
        </w:trPr>
        <w:tc>
          <w:tcPr>
            <w:tcW w:w="575" w:type="pct"/>
            <w:vMerge w:val="restart"/>
            <w:tcBorders>
              <w:top w:val="nil"/>
              <w:left w:val="single" w:color="auto" w:sz="4" w:space="0"/>
              <w:bottom w:val="single" w:color="000000" w:sz="4" w:space="0"/>
              <w:right w:val="single" w:color="auto" w:sz="4" w:space="0"/>
            </w:tcBorders>
            <w:shd w:val="clear" w:color="auto" w:fill="auto"/>
            <w:vAlign w:val="center"/>
          </w:tcPr>
          <w:p w14:paraId="1C967DB1">
            <w:pPr>
              <w:widowControl/>
              <w:adjustRightInd w:val="0"/>
              <w:jc w:val="center"/>
              <w:rPr>
                <w:rFonts w:cs="Times New Roman"/>
                <w:kern w:val="0"/>
                <w:szCs w:val="24"/>
              </w:rPr>
            </w:pPr>
            <w:r>
              <w:rPr>
                <w:rFonts w:cs="Times New Roman"/>
                <w:kern w:val="0"/>
                <w:szCs w:val="24"/>
              </w:rPr>
              <w:t>水资源配置与保障</w:t>
            </w:r>
          </w:p>
        </w:tc>
        <w:tc>
          <w:tcPr>
            <w:tcW w:w="169" w:type="pct"/>
            <w:tcBorders>
              <w:top w:val="nil"/>
              <w:left w:val="nil"/>
              <w:bottom w:val="single" w:color="auto" w:sz="4" w:space="0"/>
              <w:right w:val="single" w:color="auto" w:sz="4" w:space="0"/>
            </w:tcBorders>
            <w:shd w:val="clear" w:color="auto" w:fill="auto"/>
            <w:vAlign w:val="center"/>
          </w:tcPr>
          <w:p w14:paraId="5460C099">
            <w:pPr>
              <w:widowControl/>
              <w:adjustRightInd w:val="0"/>
              <w:jc w:val="center"/>
              <w:rPr>
                <w:rFonts w:cs="Times New Roman"/>
                <w:kern w:val="0"/>
                <w:szCs w:val="24"/>
              </w:rPr>
            </w:pPr>
            <w:r>
              <w:rPr>
                <w:rFonts w:cs="Times New Roman"/>
                <w:kern w:val="0"/>
                <w:szCs w:val="24"/>
              </w:rPr>
              <w:t>3</w:t>
            </w:r>
          </w:p>
        </w:tc>
        <w:tc>
          <w:tcPr>
            <w:tcW w:w="3147" w:type="pct"/>
            <w:tcBorders>
              <w:top w:val="nil"/>
              <w:left w:val="nil"/>
              <w:bottom w:val="single" w:color="auto" w:sz="4" w:space="0"/>
              <w:right w:val="single" w:color="auto" w:sz="4" w:space="0"/>
            </w:tcBorders>
            <w:shd w:val="clear" w:color="auto" w:fill="auto"/>
            <w:vAlign w:val="center"/>
          </w:tcPr>
          <w:p w14:paraId="1EC98A7F">
            <w:pPr>
              <w:widowControl/>
              <w:adjustRightInd w:val="0"/>
              <w:jc w:val="center"/>
              <w:rPr>
                <w:rFonts w:cs="Times New Roman"/>
                <w:kern w:val="0"/>
                <w:szCs w:val="24"/>
              </w:rPr>
            </w:pPr>
            <w:r>
              <w:rPr>
                <w:rFonts w:cs="Times New Roman"/>
                <w:kern w:val="0"/>
                <w:szCs w:val="24"/>
              </w:rPr>
              <w:t>农村饮水安全工程（建设农村牧区供水信息平台，实施阿嘎如泰与哈业胡同北部、哈林格尔、哈业胡同南部、麻池镇、萨如拉等集中扩网改造工程，实施白音席勒、阿嘎如泰与哈业胡同北部、哈林格尔、哈业胡同南部接入市政管网工程，实施72个村村网改造工程，铺设管网约580km。）</w:t>
            </w:r>
          </w:p>
        </w:tc>
        <w:tc>
          <w:tcPr>
            <w:tcW w:w="383" w:type="pct"/>
            <w:tcBorders>
              <w:top w:val="nil"/>
              <w:left w:val="nil"/>
              <w:bottom w:val="single" w:color="auto" w:sz="4" w:space="0"/>
              <w:right w:val="single" w:color="auto" w:sz="4" w:space="0"/>
            </w:tcBorders>
            <w:shd w:val="clear" w:color="auto" w:fill="auto"/>
            <w:vAlign w:val="center"/>
          </w:tcPr>
          <w:p w14:paraId="34D2E69B">
            <w:pPr>
              <w:widowControl/>
              <w:adjustRightInd w:val="0"/>
              <w:jc w:val="center"/>
              <w:rPr>
                <w:rFonts w:cs="Times New Roman"/>
                <w:kern w:val="0"/>
                <w:szCs w:val="24"/>
              </w:rPr>
            </w:pPr>
            <w:r>
              <w:rPr>
                <w:rFonts w:cs="Times New Roman"/>
                <w:kern w:val="0"/>
                <w:szCs w:val="24"/>
              </w:rPr>
              <w:t>1.86</w:t>
            </w:r>
          </w:p>
        </w:tc>
        <w:tc>
          <w:tcPr>
            <w:tcW w:w="363" w:type="pct"/>
            <w:tcBorders>
              <w:top w:val="nil"/>
              <w:left w:val="nil"/>
              <w:bottom w:val="single" w:color="auto" w:sz="4" w:space="0"/>
              <w:right w:val="single" w:color="auto" w:sz="4" w:space="0"/>
            </w:tcBorders>
            <w:shd w:val="clear" w:color="auto" w:fill="auto"/>
            <w:vAlign w:val="center"/>
          </w:tcPr>
          <w:p w14:paraId="19E59231">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17261907">
            <w:pPr>
              <w:widowControl/>
              <w:adjustRightInd w:val="0"/>
              <w:jc w:val="center"/>
              <w:rPr>
                <w:rFonts w:cs="Times New Roman"/>
                <w:kern w:val="0"/>
                <w:szCs w:val="24"/>
              </w:rPr>
            </w:pPr>
            <w:r>
              <w:rPr>
                <w:rFonts w:cs="Times New Roman"/>
                <w:kern w:val="0"/>
                <w:szCs w:val="24"/>
              </w:rPr>
              <w:t>1.86</w:t>
            </w:r>
          </w:p>
        </w:tc>
      </w:tr>
      <w:tr w14:paraId="6D079EB4">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000000" w:sz="4" w:space="0"/>
              <w:right w:val="single" w:color="auto" w:sz="4" w:space="0"/>
            </w:tcBorders>
            <w:shd w:val="clear" w:color="auto" w:fill="auto"/>
            <w:vAlign w:val="center"/>
          </w:tcPr>
          <w:p w14:paraId="6D2A5B27">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0CF7C821">
            <w:pPr>
              <w:widowControl/>
              <w:adjustRightInd w:val="0"/>
              <w:jc w:val="center"/>
              <w:rPr>
                <w:rFonts w:cs="Times New Roman"/>
                <w:kern w:val="0"/>
                <w:szCs w:val="24"/>
              </w:rPr>
            </w:pPr>
            <w:r>
              <w:rPr>
                <w:rFonts w:cs="Times New Roman"/>
                <w:kern w:val="0"/>
                <w:szCs w:val="24"/>
              </w:rPr>
              <w:t>4</w:t>
            </w:r>
          </w:p>
        </w:tc>
        <w:tc>
          <w:tcPr>
            <w:tcW w:w="3147" w:type="pct"/>
            <w:tcBorders>
              <w:top w:val="nil"/>
              <w:left w:val="nil"/>
              <w:bottom w:val="single" w:color="auto" w:sz="4" w:space="0"/>
              <w:right w:val="single" w:color="auto" w:sz="4" w:space="0"/>
            </w:tcBorders>
            <w:shd w:val="clear" w:color="auto" w:fill="auto"/>
            <w:vAlign w:val="center"/>
          </w:tcPr>
          <w:p w14:paraId="18C54F44">
            <w:pPr>
              <w:widowControl/>
              <w:adjustRightInd w:val="0"/>
              <w:jc w:val="center"/>
              <w:rPr>
                <w:rFonts w:cs="Times New Roman"/>
                <w:kern w:val="0"/>
                <w:szCs w:val="24"/>
              </w:rPr>
            </w:pPr>
            <w:r>
              <w:rPr>
                <w:rFonts w:cs="Times New Roman"/>
                <w:kern w:val="0"/>
                <w:szCs w:val="24"/>
              </w:rPr>
              <w:t>三湖河中型灌区盐碱地排水系统改造</w:t>
            </w:r>
          </w:p>
        </w:tc>
        <w:tc>
          <w:tcPr>
            <w:tcW w:w="383" w:type="pct"/>
            <w:tcBorders>
              <w:top w:val="nil"/>
              <w:left w:val="nil"/>
              <w:bottom w:val="single" w:color="auto" w:sz="4" w:space="0"/>
              <w:right w:val="single" w:color="auto" w:sz="4" w:space="0"/>
            </w:tcBorders>
            <w:shd w:val="clear" w:color="auto" w:fill="auto"/>
            <w:vAlign w:val="center"/>
          </w:tcPr>
          <w:p w14:paraId="647E9CCC">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685227AE">
            <w:pPr>
              <w:widowControl/>
              <w:adjustRightInd w:val="0"/>
              <w:jc w:val="center"/>
              <w:rPr>
                <w:rFonts w:cs="Times New Roman"/>
                <w:kern w:val="0"/>
                <w:szCs w:val="24"/>
              </w:rPr>
            </w:pPr>
            <w:r>
              <w:rPr>
                <w:rFonts w:cs="Times New Roman"/>
                <w:kern w:val="0"/>
                <w:szCs w:val="24"/>
              </w:rPr>
              <w:t>0.75</w:t>
            </w:r>
          </w:p>
        </w:tc>
        <w:tc>
          <w:tcPr>
            <w:tcW w:w="363" w:type="pct"/>
            <w:tcBorders>
              <w:top w:val="nil"/>
              <w:left w:val="nil"/>
              <w:bottom w:val="single" w:color="auto" w:sz="4" w:space="0"/>
              <w:right w:val="single" w:color="auto" w:sz="4" w:space="0"/>
            </w:tcBorders>
            <w:shd w:val="clear" w:color="auto" w:fill="auto"/>
            <w:vAlign w:val="center"/>
          </w:tcPr>
          <w:p w14:paraId="32C93BCB">
            <w:pPr>
              <w:widowControl/>
              <w:adjustRightInd w:val="0"/>
              <w:jc w:val="center"/>
              <w:rPr>
                <w:rFonts w:cs="Times New Roman"/>
                <w:kern w:val="0"/>
                <w:szCs w:val="24"/>
              </w:rPr>
            </w:pPr>
            <w:r>
              <w:rPr>
                <w:rFonts w:cs="Times New Roman"/>
                <w:kern w:val="0"/>
                <w:szCs w:val="24"/>
              </w:rPr>
              <w:t>1.05</w:t>
            </w:r>
          </w:p>
        </w:tc>
      </w:tr>
      <w:tr w14:paraId="1B4484E8">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000000" w:sz="4" w:space="0"/>
              <w:right w:val="single" w:color="auto" w:sz="4" w:space="0"/>
            </w:tcBorders>
            <w:shd w:val="clear" w:color="auto" w:fill="auto"/>
            <w:vAlign w:val="center"/>
          </w:tcPr>
          <w:p w14:paraId="586055ED">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000000" w:sz="4" w:space="0"/>
            </w:tcBorders>
            <w:shd w:val="clear" w:color="auto" w:fill="auto"/>
            <w:vAlign w:val="center"/>
          </w:tcPr>
          <w:p w14:paraId="02CD4CBA">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19053711">
            <w:pPr>
              <w:widowControl/>
              <w:adjustRightInd w:val="0"/>
              <w:jc w:val="center"/>
              <w:rPr>
                <w:rFonts w:cs="Times New Roman"/>
                <w:kern w:val="0"/>
                <w:szCs w:val="24"/>
              </w:rPr>
            </w:pPr>
            <w:r>
              <w:rPr>
                <w:rFonts w:cs="Times New Roman"/>
                <w:kern w:val="0"/>
                <w:szCs w:val="24"/>
              </w:rPr>
              <w:t>2.16</w:t>
            </w:r>
          </w:p>
        </w:tc>
        <w:tc>
          <w:tcPr>
            <w:tcW w:w="363" w:type="pct"/>
            <w:tcBorders>
              <w:top w:val="nil"/>
              <w:left w:val="nil"/>
              <w:bottom w:val="single" w:color="auto" w:sz="4" w:space="0"/>
              <w:right w:val="single" w:color="auto" w:sz="4" w:space="0"/>
            </w:tcBorders>
            <w:shd w:val="clear" w:color="auto" w:fill="auto"/>
            <w:vAlign w:val="center"/>
          </w:tcPr>
          <w:p w14:paraId="781E4331">
            <w:pPr>
              <w:widowControl/>
              <w:adjustRightInd w:val="0"/>
              <w:jc w:val="center"/>
              <w:rPr>
                <w:rFonts w:cs="Times New Roman"/>
                <w:kern w:val="0"/>
                <w:szCs w:val="24"/>
              </w:rPr>
            </w:pPr>
            <w:r>
              <w:rPr>
                <w:rFonts w:cs="Times New Roman"/>
                <w:kern w:val="0"/>
                <w:szCs w:val="24"/>
              </w:rPr>
              <w:t>0.75</w:t>
            </w:r>
          </w:p>
        </w:tc>
        <w:tc>
          <w:tcPr>
            <w:tcW w:w="363" w:type="pct"/>
            <w:tcBorders>
              <w:top w:val="nil"/>
              <w:left w:val="nil"/>
              <w:bottom w:val="single" w:color="auto" w:sz="4" w:space="0"/>
              <w:right w:val="single" w:color="auto" w:sz="4" w:space="0"/>
            </w:tcBorders>
            <w:shd w:val="clear" w:color="auto" w:fill="auto"/>
            <w:vAlign w:val="center"/>
          </w:tcPr>
          <w:p w14:paraId="3C04B29A">
            <w:pPr>
              <w:widowControl/>
              <w:adjustRightInd w:val="0"/>
              <w:jc w:val="center"/>
              <w:rPr>
                <w:rFonts w:cs="Times New Roman"/>
                <w:kern w:val="0"/>
                <w:szCs w:val="24"/>
              </w:rPr>
            </w:pPr>
            <w:r>
              <w:rPr>
                <w:rFonts w:cs="Times New Roman"/>
                <w:kern w:val="0"/>
                <w:szCs w:val="24"/>
              </w:rPr>
              <w:t>2.91</w:t>
            </w:r>
          </w:p>
        </w:tc>
      </w:tr>
      <w:tr w14:paraId="5B8EB88B">
        <w:tblPrEx>
          <w:tblCellMar>
            <w:top w:w="0" w:type="dxa"/>
            <w:left w:w="108" w:type="dxa"/>
            <w:bottom w:w="0" w:type="dxa"/>
            <w:right w:w="108" w:type="dxa"/>
          </w:tblCellMar>
        </w:tblPrEx>
        <w:trPr>
          <w:trHeight w:val="20"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2EAB6C48">
            <w:pPr>
              <w:widowControl/>
              <w:adjustRightInd w:val="0"/>
              <w:jc w:val="center"/>
              <w:rPr>
                <w:rFonts w:cs="Times New Roman"/>
                <w:kern w:val="0"/>
                <w:szCs w:val="24"/>
              </w:rPr>
            </w:pPr>
            <w:r>
              <w:rPr>
                <w:rFonts w:cs="Times New Roman"/>
                <w:kern w:val="0"/>
                <w:szCs w:val="24"/>
              </w:rPr>
              <w:t>水生态保护治理</w:t>
            </w:r>
          </w:p>
        </w:tc>
        <w:tc>
          <w:tcPr>
            <w:tcW w:w="169" w:type="pct"/>
            <w:tcBorders>
              <w:top w:val="nil"/>
              <w:left w:val="nil"/>
              <w:bottom w:val="single" w:color="auto" w:sz="4" w:space="0"/>
              <w:right w:val="single" w:color="auto" w:sz="4" w:space="0"/>
            </w:tcBorders>
            <w:shd w:val="clear" w:color="auto" w:fill="auto"/>
            <w:vAlign w:val="center"/>
          </w:tcPr>
          <w:p w14:paraId="0165E23F">
            <w:pPr>
              <w:widowControl/>
              <w:adjustRightInd w:val="0"/>
              <w:jc w:val="center"/>
              <w:rPr>
                <w:rFonts w:cs="Times New Roman"/>
                <w:kern w:val="0"/>
                <w:szCs w:val="24"/>
              </w:rPr>
            </w:pPr>
            <w:r>
              <w:rPr>
                <w:rFonts w:cs="Times New Roman"/>
                <w:kern w:val="0"/>
                <w:szCs w:val="24"/>
              </w:rPr>
              <w:t>5</w:t>
            </w:r>
          </w:p>
        </w:tc>
        <w:tc>
          <w:tcPr>
            <w:tcW w:w="3147" w:type="pct"/>
            <w:tcBorders>
              <w:top w:val="nil"/>
              <w:left w:val="nil"/>
              <w:bottom w:val="single" w:color="auto" w:sz="4" w:space="0"/>
              <w:right w:val="single" w:color="auto" w:sz="4" w:space="0"/>
            </w:tcBorders>
            <w:shd w:val="clear" w:color="auto" w:fill="auto"/>
            <w:vAlign w:val="center"/>
          </w:tcPr>
          <w:p w14:paraId="3CA5476E">
            <w:pPr>
              <w:widowControl/>
              <w:adjustRightInd w:val="0"/>
              <w:jc w:val="center"/>
              <w:rPr>
                <w:rFonts w:cs="Times New Roman"/>
                <w:kern w:val="0"/>
                <w:szCs w:val="24"/>
              </w:rPr>
            </w:pPr>
            <w:r>
              <w:rPr>
                <w:rFonts w:cs="Times New Roman"/>
                <w:kern w:val="0"/>
                <w:szCs w:val="24"/>
              </w:rPr>
              <w:t>九原区小流域综合治理工程</w:t>
            </w:r>
          </w:p>
        </w:tc>
        <w:tc>
          <w:tcPr>
            <w:tcW w:w="383" w:type="pct"/>
            <w:tcBorders>
              <w:top w:val="nil"/>
              <w:left w:val="nil"/>
              <w:bottom w:val="single" w:color="auto" w:sz="4" w:space="0"/>
              <w:right w:val="single" w:color="auto" w:sz="4" w:space="0"/>
            </w:tcBorders>
            <w:shd w:val="clear" w:color="auto" w:fill="auto"/>
            <w:vAlign w:val="center"/>
          </w:tcPr>
          <w:p w14:paraId="2BB217D0">
            <w:pPr>
              <w:widowControl/>
              <w:adjustRightInd w:val="0"/>
              <w:jc w:val="center"/>
              <w:rPr>
                <w:rFonts w:cs="Times New Roman"/>
                <w:kern w:val="0"/>
                <w:szCs w:val="24"/>
              </w:rPr>
            </w:pPr>
            <w:r>
              <w:rPr>
                <w:rFonts w:cs="Times New Roman"/>
                <w:kern w:val="0"/>
                <w:szCs w:val="24"/>
              </w:rPr>
              <w:t>0.1</w:t>
            </w:r>
          </w:p>
        </w:tc>
        <w:tc>
          <w:tcPr>
            <w:tcW w:w="363" w:type="pct"/>
            <w:tcBorders>
              <w:top w:val="nil"/>
              <w:left w:val="nil"/>
              <w:bottom w:val="single" w:color="auto" w:sz="4" w:space="0"/>
              <w:right w:val="single" w:color="auto" w:sz="4" w:space="0"/>
            </w:tcBorders>
            <w:shd w:val="clear" w:color="auto" w:fill="auto"/>
            <w:vAlign w:val="center"/>
          </w:tcPr>
          <w:p w14:paraId="6A484520">
            <w:pPr>
              <w:widowControl/>
              <w:adjustRightInd w:val="0"/>
              <w:jc w:val="center"/>
              <w:rPr>
                <w:rFonts w:cs="Times New Roman"/>
                <w:kern w:val="0"/>
                <w:szCs w:val="24"/>
              </w:rPr>
            </w:pPr>
            <w:r>
              <w:rPr>
                <w:rFonts w:cs="Times New Roman"/>
                <w:kern w:val="0"/>
                <w:szCs w:val="24"/>
              </w:rPr>
              <w:t>0.9</w:t>
            </w:r>
          </w:p>
        </w:tc>
        <w:tc>
          <w:tcPr>
            <w:tcW w:w="363" w:type="pct"/>
            <w:tcBorders>
              <w:top w:val="nil"/>
              <w:left w:val="nil"/>
              <w:bottom w:val="single" w:color="auto" w:sz="4" w:space="0"/>
              <w:right w:val="single" w:color="auto" w:sz="4" w:space="0"/>
            </w:tcBorders>
            <w:shd w:val="clear" w:color="auto" w:fill="auto"/>
            <w:vAlign w:val="center"/>
          </w:tcPr>
          <w:p w14:paraId="7190D029">
            <w:pPr>
              <w:widowControl/>
              <w:adjustRightInd w:val="0"/>
              <w:jc w:val="center"/>
              <w:rPr>
                <w:rFonts w:cs="Times New Roman"/>
                <w:kern w:val="0"/>
                <w:szCs w:val="24"/>
              </w:rPr>
            </w:pPr>
            <w:r>
              <w:rPr>
                <w:rFonts w:cs="Times New Roman"/>
                <w:kern w:val="0"/>
                <w:szCs w:val="24"/>
              </w:rPr>
              <w:t>1</w:t>
            </w:r>
          </w:p>
        </w:tc>
      </w:tr>
      <w:tr w14:paraId="6F39E246">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0D4A8BE2">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7FE51957">
            <w:pPr>
              <w:widowControl/>
              <w:adjustRightInd w:val="0"/>
              <w:jc w:val="center"/>
              <w:rPr>
                <w:rFonts w:cs="Times New Roman"/>
                <w:kern w:val="0"/>
                <w:szCs w:val="24"/>
              </w:rPr>
            </w:pPr>
            <w:r>
              <w:rPr>
                <w:rFonts w:cs="Times New Roman"/>
                <w:kern w:val="0"/>
                <w:szCs w:val="24"/>
              </w:rPr>
              <w:t>6</w:t>
            </w:r>
          </w:p>
        </w:tc>
        <w:tc>
          <w:tcPr>
            <w:tcW w:w="3147" w:type="pct"/>
            <w:tcBorders>
              <w:top w:val="nil"/>
              <w:left w:val="nil"/>
              <w:bottom w:val="single" w:color="auto" w:sz="4" w:space="0"/>
              <w:right w:val="single" w:color="auto" w:sz="4" w:space="0"/>
            </w:tcBorders>
            <w:shd w:val="clear" w:color="auto" w:fill="auto"/>
            <w:vAlign w:val="center"/>
          </w:tcPr>
          <w:p w14:paraId="130A204F">
            <w:pPr>
              <w:widowControl/>
              <w:adjustRightInd w:val="0"/>
              <w:jc w:val="center"/>
              <w:rPr>
                <w:rFonts w:cs="Times New Roman"/>
                <w:kern w:val="0"/>
                <w:szCs w:val="24"/>
              </w:rPr>
            </w:pPr>
            <w:r>
              <w:rPr>
                <w:rFonts w:cs="Times New Roman"/>
                <w:kern w:val="0"/>
                <w:szCs w:val="24"/>
              </w:rPr>
              <w:t>水源地保护工程</w:t>
            </w:r>
          </w:p>
        </w:tc>
        <w:tc>
          <w:tcPr>
            <w:tcW w:w="383" w:type="pct"/>
            <w:tcBorders>
              <w:top w:val="nil"/>
              <w:left w:val="nil"/>
              <w:bottom w:val="single" w:color="auto" w:sz="4" w:space="0"/>
              <w:right w:val="single" w:color="auto" w:sz="4" w:space="0"/>
            </w:tcBorders>
            <w:shd w:val="clear" w:color="auto" w:fill="auto"/>
            <w:vAlign w:val="center"/>
          </w:tcPr>
          <w:p w14:paraId="06863A5D">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6679B615">
            <w:pPr>
              <w:widowControl/>
              <w:adjustRightInd w:val="0"/>
              <w:jc w:val="center"/>
              <w:rPr>
                <w:rFonts w:cs="Times New Roman"/>
                <w:kern w:val="0"/>
                <w:szCs w:val="24"/>
              </w:rPr>
            </w:pPr>
            <w:r>
              <w:rPr>
                <w:rFonts w:cs="Times New Roman"/>
                <w:kern w:val="0"/>
                <w:szCs w:val="24"/>
              </w:rPr>
              <w:t>1.8</w:t>
            </w:r>
          </w:p>
        </w:tc>
        <w:tc>
          <w:tcPr>
            <w:tcW w:w="363" w:type="pct"/>
            <w:tcBorders>
              <w:top w:val="nil"/>
              <w:left w:val="nil"/>
              <w:bottom w:val="nil"/>
              <w:right w:val="single" w:color="auto" w:sz="4" w:space="0"/>
            </w:tcBorders>
            <w:shd w:val="clear" w:color="auto" w:fill="auto"/>
            <w:vAlign w:val="center"/>
          </w:tcPr>
          <w:p w14:paraId="664B3B96">
            <w:pPr>
              <w:widowControl/>
              <w:adjustRightInd w:val="0"/>
              <w:jc w:val="center"/>
              <w:rPr>
                <w:rFonts w:cs="Times New Roman"/>
                <w:kern w:val="0"/>
                <w:szCs w:val="24"/>
              </w:rPr>
            </w:pPr>
            <w:r>
              <w:rPr>
                <w:rFonts w:cs="Times New Roman"/>
                <w:kern w:val="0"/>
                <w:szCs w:val="24"/>
              </w:rPr>
              <w:t>1.8</w:t>
            </w:r>
          </w:p>
        </w:tc>
      </w:tr>
      <w:tr w14:paraId="4572E294">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1AAA9024">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1C688089">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7017B7DF">
            <w:pPr>
              <w:widowControl/>
              <w:adjustRightInd w:val="0"/>
              <w:jc w:val="center"/>
              <w:rPr>
                <w:rFonts w:cs="Times New Roman"/>
                <w:b/>
                <w:bCs/>
                <w:kern w:val="0"/>
                <w:szCs w:val="24"/>
              </w:rPr>
            </w:pPr>
            <w:r>
              <w:rPr>
                <w:rFonts w:cs="Times New Roman"/>
                <w:b/>
                <w:bCs/>
                <w:kern w:val="0"/>
                <w:szCs w:val="24"/>
              </w:rPr>
              <w:t>0.1</w:t>
            </w:r>
          </w:p>
        </w:tc>
        <w:tc>
          <w:tcPr>
            <w:tcW w:w="363" w:type="pct"/>
            <w:tcBorders>
              <w:top w:val="nil"/>
              <w:left w:val="nil"/>
              <w:bottom w:val="single" w:color="auto" w:sz="4" w:space="0"/>
              <w:right w:val="single" w:color="auto" w:sz="4" w:space="0"/>
            </w:tcBorders>
            <w:shd w:val="clear" w:color="auto" w:fill="auto"/>
            <w:vAlign w:val="center"/>
          </w:tcPr>
          <w:p w14:paraId="58F5D761">
            <w:pPr>
              <w:widowControl/>
              <w:adjustRightInd w:val="0"/>
              <w:jc w:val="center"/>
              <w:rPr>
                <w:rFonts w:cs="Times New Roman"/>
                <w:b/>
                <w:bCs/>
                <w:kern w:val="0"/>
                <w:szCs w:val="24"/>
              </w:rPr>
            </w:pPr>
            <w:r>
              <w:rPr>
                <w:rFonts w:cs="Times New Roman"/>
                <w:b/>
                <w:bCs/>
                <w:kern w:val="0"/>
                <w:szCs w:val="24"/>
              </w:rPr>
              <w:t>2.7</w:t>
            </w:r>
          </w:p>
        </w:tc>
        <w:tc>
          <w:tcPr>
            <w:tcW w:w="363" w:type="pct"/>
            <w:tcBorders>
              <w:top w:val="single" w:color="auto" w:sz="4" w:space="0"/>
              <w:left w:val="nil"/>
              <w:bottom w:val="single" w:color="auto" w:sz="4" w:space="0"/>
              <w:right w:val="single" w:color="auto" w:sz="4" w:space="0"/>
            </w:tcBorders>
            <w:shd w:val="clear" w:color="auto" w:fill="auto"/>
            <w:vAlign w:val="center"/>
          </w:tcPr>
          <w:p w14:paraId="6A547755">
            <w:pPr>
              <w:widowControl/>
              <w:adjustRightInd w:val="0"/>
              <w:jc w:val="center"/>
              <w:rPr>
                <w:rFonts w:cs="Times New Roman"/>
                <w:b/>
                <w:bCs/>
                <w:kern w:val="0"/>
                <w:szCs w:val="24"/>
              </w:rPr>
            </w:pPr>
            <w:r>
              <w:rPr>
                <w:rFonts w:cs="Times New Roman"/>
                <w:b/>
                <w:bCs/>
                <w:kern w:val="0"/>
                <w:szCs w:val="24"/>
              </w:rPr>
              <w:t>2.8</w:t>
            </w:r>
          </w:p>
        </w:tc>
      </w:tr>
      <w:tr w14:paraId="47DA2533">
        <w:tblPrEx>
          <w:tblCellMar>
            <w:top w:w="0" w:type="dxa"/>
            <w:left w:w="108" w:type="dxa"/>
            <w:bottom w:w="0" w:type="dxa"/>
            <w:right w:w="108" w:type="dxa"/>
          </w:tblCellMar>
        </w:tblPrEx>
        <w:trPr>
          <w:trHeight w:val="20"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636B146A">
            <w:pPr>
              <w:widowControl/>
              <w:adjustRightInd w:val="0"/>
              <w:jc w:val="center"/>
              <w:rPr>
                <w:rFonts w:cs="Times New Roman"/>
                <w:kern w:val="0"/>
                <w:szCs w:val="24"/>
              </w:rPr>
            </w:pPr>
            <w:r>
              <w:rPr>
                <w:rFonts w:cs="Times New Roman"/>
                <w:kern w:val="0"/>
                <w:szCs w:val="24"/>
              </w:rPr>
              <w:t>流域防洪排涝减灾</w:t>
            </w:r>
          </w:p>
        </w:tc>
        <w:tc>
          <w:tcPr>
            <w:tcW w:w="169" w:type="pct"/>
            <w:tcBorders>
              <w:top w:val="nil"/>
              <w:left w:val="nil"/>
              <w:bottom w:val="single" w:color="auto" w:sz="4" w:space="0"/>
              <w:right w:val="single" w:color="auto" w:sz="4" w:space="0"/>
            </w:tcBorders>
            <w:shd w:val="clear" w:color="auto" w:fill="auto"/>
            <w:vAlign w:val="center"/>
          </w:tcPr>
          <w:p w14:paraId="1DFB1FBF">
            <w:pPr>
              <w:widowControl/>
              <w:adjustRightInd w:val="0"/>
              <w:jc w:val="center"/>
              <w:rPr>
                <w:rFonts w:cs="Times New Roman"/>
                <w:kern w:val="0"/>
                <w:szCs w:val="24"/>
              </w:rPr>
            </w:pPr>
            <w:r>
              <w:rPr>
                <w:rFonts w:cs="Times New Roman"/>
                <w:kern w:val="0"/>
                <w:szCs w:val="24"/>
              </w:rPr>
              <w:t>7</w:t>
            </w:r>
          </w:p>
        </w:tc>
        <w:tc>
          <w:tcPr>
            <w:tcW w:w="3147" w:type="pct"/>
            <w:tcBorders>
              <w:top w:val="nil"/>
              <w:left w:val="nil"/>
              <w:bottom w:val="single" w:color="auto" w:sz="4" w:space="0"/>
              <w:right w:val="single" w:color="auto" w:sz="4" w:space="0"/>
            </w:tcBorders>
            <w:shd w:val="clear" w:color="auto" w:fill="auto"/>
            <w:vAlign w:val="center"/>
          </w:tcPr>
          <w:p w14:paraId="45FD91D1">
            <w:pPr>
              <w:widowControl/>
              <w:adjustRightInd w:val="0"/>
              <w:jc w:val="center"/>
              <w:rPr>
                <w:rFonts w:cs="Times New Roman"/>
                <w:kern w:val="0"/>
                <w:szCs w:val="24"/>
              </w:rPr>
            </w:pPr>
            <w:r>
              <w:rPr>
                <w:rFonts w:cs="Times New Roman"/>
                <w:kern w:val="0"/>
                <w:szCs w:val="24"/>
              </w:rPr>
              <w:t>主城区中小河流治理（哈德门沟河道治理工程；昆都仑河河道治理工程；四道沙河上游生态综合治理工程）</w:t>
            </w:r>
          </w:p>
        </w:tc>
        <w:tc>
          <w:tcPr>
            <w:tcW w:w="383" w:type="pct"/>
            <w:tcBorders>
              <w:top w:val="nil"/>
              <w:left w:val="nil"/>
              <w:bottom w:val="single" w:color="auto" w:sz="4" w:space="0"/>
              <w:right w:val="single" w:color="auto" w:sz="4" w:space="0"/>
            </w:tcBorders>
            <w:shd w:val="clear" w:color="auto" w:fill="auto"/>
            <w:vAlign w:val="center"/>
          </w:tcPr>
          <w:p w14:paraId="2BCFD7F1">
            <w:pPr>
              <w:widowControl/>
              <w:adjustRightInd w:val="0"/>
              <w:jc w:val="center"/>
              <w:rPr>
                <w:rFonts w:cs="Times New Roman"/>
                <w:kern w:val="0"/>
                <w:szCs w:val="24"/>
              </w:rPr>
            </w:pPr>
            <w:r>
              <w:rPr>
                <w:rFonts w:cs="Times New Roman"/>
                <w:kern w:val="0"/>
                <w:szCs w:val="24"/>
              </w:rPr>
              <w:t>4.8</w:t>
            </w:r>
          </w:p>
        </w:tc>
        <w:tc>
          <w:tcPr>
            <w:tcW w:w="363" w:type="pct"/>
            <w:tcBorders>
              <w:top w:val="nil"/>
              <w:left w:val="nil"/>
              <w:bottom w:val="single" w:color="auto" w:sz="4" w:space="0"/>
              <w:right w:val="single" w:color="auto" w:sz="4" w:space="0"/>
            </w:tcBorders>
            <w:shd w:val="clear" w:color="auto" w:fill="auto"/>
            <w:vAlign w:val="center"/>
          </w:tcPr>
          <w:p w14:paraId="5F9C0A4C">
            <w:pPr>
              <w:widowControl/>
              <w:adjustRightInd w:val="0"/>
              <w:jc w:val="center"/>
              <w:rPr>
                <w:rFonts w:cs="Times New Roman"/>
                <w:kern w:val="0"/>
                <w:szCs w:val="24"/>
              </w:rPr>
            </w:pPr>
            <w:r>
              <w:rPr>
                <w:rFonts w:cs="Times New Roman"/>
                <w:kern w:val="0"/>
                <w:szCs w:val="24"/>
              </w:rPr>
              <w:t>0</w:t>
            </w:r>
          </w:p>
        </w:tc>
        <w:tc>
          <w:tcPr>
            <w:tcW w:w="363" w:type="pct"/>
            <w:tcBorders>
              <w:top w:val="nil"/>
              <w:left w:val="nil"/>
              <w:bottom w:val="single" w:color="auto" w:sz="4" w:space="0"/>
              <w:right w:val="single" w:color="auto" w:sz="4" w:space="0"/>
            </w:tcBorders>
            <w:shd w:val="clear" w:color="auto" w:fill="auto"/>
            <w:vAlign w:val="center"/>
          </w:tcPr>
          <w:p w14:paraId="0043E5F9">
            <w:pPr>
              <w:widowControl/>
              <w:adjustRightInd w:val="0"/>
              <w:jc w:val="center"/>
              <w:rPr>
                <w:rFonts w:cs="Times New Roman"/>
                <w:kern w:val="0"/>
                <w:szCs w:val="24"/>
              </w:rPr>
            </w:pPr>
            <w:r>
              <w:rPr>
                <w:rFonts w:cs="Times New Roman"/>
                <w:kern w:val="0"/>
                <w:szCs w:val="24"/>
              </w:rPr>
              <w:t>4.8</w:t>
            </w:r>
          </w:p>
        </w:tc>
      </w:tr>
      <w:tr w14:paraId="0D829A33">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16D1E1A9">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0CCAC0E0">
            <w:pPr>
              <w:widowControl/>
              <w:adjustRightInd w:val="0"/>
              <w:jc w:val="center"/>
              <w:rPr>
                <w:rFonts w:cs="Times New Roman"/>
                <w:kern w:val="0"/>
                <w:szCs w:val="24"/>
              </w:rPr>
            </w:pPr>
            <w:r>
              <w:rPr>
                <w:rFonts w:cs="Times New Roman"/>
                <w:kern w:val="0"/>
                <w:szCs w:val="24"/>
              </w:rPr>
              <w:t>8</w:t>
            </w:r>
          </w:p>
        </w:tc>
        <w:tc>
          <w:tcPr>
            <w:tcW w:w="3147" w:type="pct"/>
            <w:tcBorders>
              <w:top w:val="nil"/>
              <w:left w:val="nil"/>
              <w:bottom w:val="single" w:color="auto" w:sz="4" w:space="0"/>
              <w:right w:val="single" w:color="auto" w:sz="4" w:space="0"/>
            </w:tcBorders>
            <w:shd w:val="clear" w:color="auto" w:fill="auto"/>
            <w:vAlign w:val="center"/>
          </w:tcPr>
          <w:p w14:paraId="595618DB">
            <w:pPr>
              <w:widowControl/>
              <w:adjustRightInd w:val="0"/>
              <w:jc w:val="center"/>
              <w:rPr>
                <w:rFonts w:cs="Times New Roman"/>
                <w:kern w:val="0"/>
                <w:szCs w:val="24"/>
              </w:rPr>
            </w:pPr>
            <w:r>
              <w:rPr>
                <w:rFonts w:cs="Times New Roman"/>
                <w:kern w:val="0"/>
                <w:szCs w:val="24"/>
              </w:rPr>
              <w:t>乡村山洪沟治理工程（九原区哈德门沟左岸新建堤防1.934km，左岸加固堤防3.459km，右岸新建堤防5.474km，右岸加固堤防3.459km，河道疏浚8.933km；梅力更沟新建堤防左右岸各7.149km，河道疏浚7.149km；乌兰不浪沟新建堤防左右岸各2.856km，河道疏浚2.856km；大坝沟新建堤防左右岸各2.71km，河道疏浚2.71km；白石头沟新建堤防左右岸各2.943km，河道疏浚2.943km；虎贲亥沟左岸新建堤防0.5km，河道疏浚0.5km。）</w:t>
            </w:r>
          </w:p>
        </w:tc>
        <w:tc>
          <w:tcPr>
            <w:tcW w:w="383" w:type="pct"/>
            <w:tcBorders>
              <w:top w:val="nil"/>
              <w:left w:val="nil"/>
              <w:bottom w:val="single" w:color="auto" w:sz="4" w:space="0"/>
              <w:right w:val="single" w:color="auto" w:sz="4" w:space="0"/>
            </w:tcBorders>
            <w:shd w:val="clear" w:color="auto" w:fill="auto"/>
            <w:vAlign w:val="center"/>
          </w:tcPr>
          <w:p w14:paraId="57046E56">
            <w:pPr>
              <w:widowControl/>
              <w:adjustRightInd w:val="0"/>
              <w:jc w:val="center"/>
              <w:rPr>
                <w:rFonts w:cs="Times New Roman"/>
                <w:kern w:val="0"/>
                <w:szCs w:val="24"/>
              </w:rPr>
            </w:pPr>
            <w:r>
              <w:rPr>
                <w:rFonts w:cs="Times New Roman"/>
                <w:kern w:val="0"/>
                <w:szCs w:val="24"/>
              </w:rPr>
              <w:t>0.34</w:t>
            </w:r>
          </w:p>
        </w:tc>
        <w:tc>
          <w:tcPr>
            <w:tcW w:w="363" w:type="pct"/>
            <w:tcBorders>
              <w:top w:val="nil"/>
              <w:left w:val="nil"/>
              <w:bottom w:val="single" w:color="auto" w:sz="4" w:space="0"/>
              <w:right w:val="single" w:color="auto" w:sz="4" w:space="0"/>
            </w:tcBorders>
            <w:shd w:val="clear" w:color="auto" w:fill="auto"/>
            <w:vAlign w:val="center"/>
          </w:tcPr>
          <w:p w14:paraId="6009BED8">
            <w:pPr>
              <w:widowControl/>
              <w:adjustRightInd w:val="0"/>
              <w:jc w:val="center"/>
              <w:rPr>
                <w:rFonts w:cs="Times New Roman"/>
                <w:kern w:val="0"/>
                <w:szCs w:val="24"/>
              </w:rPr>
            </w:pPr>
            <w:r>
              <w:rPr>
                <w:rFonts w:cs="Times New Roman"/>
                <w:kern w:val="0"/>
                <w:szCs w:val="24"/>
              </w:rPr>
              <w:t>0.52</w:t>
            </w:r>
          </w:p>
        </w:tc>
        <w:tc>
          <w:tcPr>
            <w:tcW w:w="363" w:type="pct"/>
            <w:tcBorders>
              <w:top w:val="nil"/>
              <w:left w:val="nil"/>
              <w:bottom w:val="single" w:color="auto" w:sz="4" w:space="0"/>
              <w:right w:val="single" w:color="auto" w:sz="4" w:space="0"/>
            </w:tcBorders>
            <w:shd w:val="clear" w:color="auto" w:fill="auto"/>
            <w:vAlign w:val="center"/>
          </w:tcPr>
          <w:p w14:paraId="70EB49FE">
            <w:pPr>
              <w:widowControl/>
              <w:adjustRightInd w:val="0"/>
              <w:jc w:val="center"/>
              <w:rPr>
                <w:rFonts w:cs="Times New Roman"/>
                <w:kern w:val="0"/>
                <w:szCs w:val="24"/>
              </w:rPr>
            </w:pPr>
            <w:r>
              <w:rPr>
                <w:rFonts w:cs="Times New Roman"/>
                <w:kern w:val="0"/>
                <w:szCs w:val="24"/>
              </w:rPr>
              <w:t>0.86</w:t>
            </w:r>
          </w:p>
        </w:tc>
      </w:tr>
      <w:tr w14:paraId="525090B4">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666252FE">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6516CA84">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3664078A">
            <w:pPr>
              <w:widowControl/>
              <w:adjustRightInd w:val="0"/>
              <w:jc w:val="center"/>
              <w:rPr>
                <w:rFonts w:cs="Times New Roman"/>
                <w:b/>
                <w:bCs/>
                <w:kern w:val="0"/>
                <w:szCs w:val="24"/>
              </w:rPr>
            </w:pPr>
            <w:r>
              <w:rPr>
                <w:rFonts w:cs="Times New Roman"/>
                <w:b/>
                <w:bCs/>
                <w:kern w:val="0"/>
                <w:szCs w:val="24"/>
              </w:rPr>
              <w:t>5.14</w:t>
            </w:r>
          </w:p>
        </w:tc>
        <w:tc>
          <w:tcPr>
            <w:tcW w:w="363" w:type="pct"/>
            <w:tcBorders>
              <w:top w:val="nil"/>
              <w:left w:val="nil"/>
              <w:bottom w:val="single" w:color="auto" w:sz="4" w:space="0"/>
              <w:right w:val="single" w:color="auto" w:sz="4" w:space="0"/>
            </w:tcBorders>
            <w:shd w:val="clear" w:color="auto" w:fill="auto"/>
            <w:vAlign w:val="center"/>
          </w:tcPr>
          <w:p w14:paraId="36820DF4">
            <w:pPr>
              <w:widowControl/>
              <w:adjustRightInd w:val="0"/>
              <w:jc w:val="center"/>
              <w:rPr>
                <w:rFonts w:cs="Times New Roman"/>
                <w:b/>
                <w:bCs/>
                <w:kern w:val="0"/>
                <w:szCs w:val="24"/>
              </w:rPr>
            </w:pPr>
            <w:r>
              <w:rPr>
                <w:rFonts w:cs="Times New Roman"/>
                <w:b/>
                <w:bCs/>
                <w:kern w:val="0"/>
                <w:szCs w:val="24"/>
              </w:rPr>
              <w:t>0.52</w:t>
            </w:r>
          </w:p>
        </w:tc>
        <w:tc>
          <w:tcPr>
            <w:tcW w:w="363" w:type="pct"/>
            <w:tcBorders>
              <w:top w:val="nil"/>
              <w:left w:val="nil"/>
              <w:bottom w:val="single" w:color="auto" w:sz="4" w:space="0"/>
              <w:right w:val="single" w:color="auto" w:sz="4" w:space="0"/>
            </w:tcBorders>
            <w:shd w:val="clear" w:color="auto" w:fill="auto"/>
            <w:vAlign w:val="center"/>
          </w:tcPr>
          <w:p w14:paraId="365E14CB">
            <w:pPr>
              <w:widowControl/>
              <w:adjustRightInd w:val="0"/>
              <w:jc w:val="center"/>
              <w:rPr>
                <w:rFonts w:cs="Times New Roman"/>
                <w:b/>
                <w:bCs/>
                <w:kern w:val="0"/>
                <w:szCs w:val="24"/>
              </w:rPr>
            </w:pPr>
            <w:r>
              <w:rPr>
                <w:rFonts w:cs="Times New Roman"/>
                <w:b/>
                <w:bCs/>
                <w:kern w:val="0"/>
                <w:szCs w:val="24"/>
              </w:rPr>
              <w:t>5.66</w:t>
            </w:r>
          </w:p>
        </w:tc>
      </w:tr>
      <w:tr w14:paraId="241E3C9C">
        <w:tblPrEx>
          <w:tblCellMar>
            <w:top w:w="0" w:type="dxa"/>
            <w:left w:w="108" w:type="dxa"/>
            <w:bottom w:w="0" w:type="dxa"/>
            <w:right w:w="108" w:type="dxa"/>
          </w:tblCellMar>
        </w:tblPrEx>
        <w:trPr>
          <w:trHeight w:val="20" w:hRule="atLeast"/>
        </w:trPr>
        <w:tc>
          <w:tcPr>
            <w:tcW w:w="575" w:type="pct"/>
            <w:vMerge w:val="restart"/>
            <w:tcBorders>
              <w:top w:val="nil"/>
              <w:left w:val="single" w:color="auto" w:sz="4" w:space="0"/>
              <w:bottom w:val="single" w:color="auto" w:sz="4" w:space="0"/>
              <w:right w:val="single" w:color="auto" w:sz="4" w:space="0"/>
            </w:tcBorders>
            <w:shd w:val="clear" w:color="auto" w:fill="auto"/>
            <w:vAlign w:val="center"/>
          </w:tcPr>
          <w:p w14:paraId="77CC24E0">
            <w:pPr>
              <w:widowControl/>
              <w:adjustRightInd w:val="0"/>
              <w:jc w:val="center"/>
              <w:rPr>
                <w:rFonts w:cs="Times New Roman"/>
                <w:kern w:val="0"/>
                <w:szCs w:val="24"/>
              </w:rPr>
            </w:pPr>
            <w:r>
              <w:rPr>
                <w:rFonts w:cs="Times New Roman"/>
                <w:kern w:val="0"/>
                <w:szCs w:val="24"/>
              </w:rPr>
              <w:t>数字孪生水网建设</w:t>
            </w:r>
          </w:p>
        </w:tc>
        <w:tc>
          <w:tcPr>
            <w:tcW w:w="169" w:type="pct"/>
            <w:tcBorders>
              <w:top w:val="nil"/>
              <w:left w:val="nil"/>
              <w:bottom w:val="single" w:color="auto" w:sz="4" w:space="0"/>
              <w:right w:val="single" w:color="auto" w:sz="4" w:space="0"/>
            </w:tcBorders>
            <w:shd w:val="clear" w:color="auto" w:fill="auto"/>
            <w:vAlign w:val="center"/>
          </w:tcPr>
          <w:p w14:paraId="6DAF9D42">
            <w:pPr>
              <w:widowControl/>
              <w:adjustRightInd w:val="0"/>
              <w:jc w:val="center"/>
              <w:rPr>
                <w:rFonts w:cs="Times New Roman"/>
                <w:kern w:val="0"/>
                <w:szCs w:val="24"/>
              </w:rPr>
            </w:pPr>
            <w:r>
              <w:rPr>
                <w:rFonts w:cs="Times New Roman"/>
                <w:kern w:val="0"/>
                <w:szCs w:val="24"/>
              </w:rPr>
              <w:t>9</w:t>
            </w:r>
          </w:p>
        </w:tc>
        <w:tc>
          <w:tcPr>
            <w:tcW w:w="3147" w:type="pct"/>
            <w:tcBorders>
              <w:top w:val="nil"/>
              <w:left w:val="nil"/>
              <w:bottom w:val="single" w:color="auto" w:sz="4" w:space="0"/>
              <w:right w:val="single" w:color="auto" w:sz="4" w:space="0"/>
            </w:tcBorders>
            <w:shd w:val="clear" w:color="auto" w:fill="auto"/>
            <w:vAlign w:val="center"/>
          </w:tcPr>
          <w:p w14:paraId="0530DECC">
            <w:pPr>
              <w:widowControl/>
              <w:adjustRightInd w:val="0"/>
              <w:jc w:val="center"/>
              <w:rPr>
                <w:rFonts w:cs="Times New Roman"/>
                <w:kern w:val="0"/>
                <w:szCs w:val="24"/>
              </w:rPr>
            </w:pPr>
            <w:r>
              <w:rPr>
                <w:rFonts w:cs="Times New Roman"/>
                <w:kern w:val="0"/>
                <w:szCs w:val="24"/>
              </w:rPr>
              <w:t>信息化基础设施建设工程</w:t>
            </w:r>
          </w:p>
        </w:tc>
        <w:tc>
          <w:tcPr>
            <w:tcW w:w="383" w:type="pct"/>
            <w:tcBorders>
              <w:top w:val="nil"/>
              <w:left w:val="nil"/>
              <w:bottom w:val="single" w:color="auto" w:sz="4" w:space="0"/>
              <w:right w:val="single" w:color="auto" w:sz="4" w:space="0"/>
            </w:tcBorders>
            <w:shd w:val="clear" w:color="auto" w:fill="auto"/>
            <w:vAlign w:val="center"/>
          </w:tcPr>
          <w:p w14:paraId="3EDFE84A">
            <w:pPr>
              <w:widowControl/>
              <w:adjustRightInd w:val="0"/>
              <w:jc w:val="center"/>
              <w:rPr>
                <w:rFonts w:cs="Times New Roman"/>
                <w:kern w:val="0"/>
                <w:szCs w:val="24"/>
              </w:rPr>
            </w:pPr>
            <w:r>
              <w:rPr>
                <w:rFonts w:cs="Times New Roman"/>
                <w:kern w:val="0"/>
                <w:szCs w:val="24"/>
              </w:rPr>
              <w:t>0.3</w:t>
            </w:r>
          </w:p>
        </w:tc>
        <w:tc>
          <w:tcPr>
            <w:tcW w:w="363" w:type="pct"/>
            <w:tcBorders>
              <w:top w:val="nil"/>
              <w:left w:val="nil"/>
              <w:bottom w:val="single" w:color="auto" w:sz="4" w:space="0"/>
              <w:right w:val="single" w:color="auto" w:sz="4" w:space="0"/>
            </w:tcBorders>
            <w:shd w:val="clear" w:color="auto" w:fill="auto"/>
            <w:vAlign w:val="center"/>
          </w:tcPr>
          <w:p w14:paraId="2EDF30DB">
            <w:pPr>
              <w:widowControl/>
              <w:adjustRightInd w:val="0"/>
              <w:jc w:val="center"/>
              <w:rPr>
                <w:rFonts w:cs="Times New Roman"/>
                <w:kern w:val="0"/>
                <w:szCs w:val="24"/>
              </w:rPr>
            </w:pPr>
            <w:r>
              <w:rPr>
                <w:rFonts w:cs="Times New Roman"/>
                <w:kern w:val="0"/>
                <w:szCs w:val="24"/>
              </w:rPr>
              <w:t>0.5</w:t>
            </w:r>
          </w:p>
        </w:tc>
        <w:tc>
          <w:tcPr>
            <w:tcW w:w="363" w:type="pct"/>
            <w:tcBorders>
              <w:top w:val="nil"/>
              <w:left w:val="nil"/>
              <w:bottom w:val="single" w:color="auto" w:sz="4" w:space="0"/>
              <w:right w:val="single" w:color="auto" w:sz="4" w:space="0"/>
            </w:tcBorders>
            <w:shd w:val="clear" w:color="auto" w:fill="auto"/>
            <w:vAlign w:val="center"/>
          </w:tcPr>
          <w:p w14:paraId="43621075">
            <w:pPr>
              <w:widowControl/>
              <w:adjustRightInd w:val="0"/>
              <w:jc w:val="center"/>
              <w:rPr>
                <w:rFonts w:cs="Times New Roman"/>
                <w:kern w:val="0"/>
                <w:szCs w:val="24"/>
              </w:rPr>
            </w:pPr>
            <w:r>
              <w:rPr>
                <w:rFonts w:cs="Times New Roman"/>
                <w:kern w:val="0"/>
                <w:szCs w:val="24"/>
              </w:rPr>
              <w:t>0.8</w:t>
            </w:r>
          </w:p>
        </w:tc>
      </w:tr>
      <w:tr w14:paraId="11570118">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3707F9EC">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480BB6FD">
            <w:pPr>
              <w:widowControl/>
              <w:adjustRightInd w:val="0"/>
              <w:jc w:val="center"/>
              <w:rPr>
                <w:rFonts w:cs="Times New Roman"/>
                <w:kern w:val="0"/>
                <w:szCs w:val="24"/>
              </w:rPr>
            </w:pPr>
            <w:r>
              <w:rPr>
                <w:rFonts w:cs="Times New Roman"/>
                <w:kern w:val="0"/>
                <w:szCs w:val="24"/>
              </w:rPr>
              <w:t>10</w:t>
            </w:r>
          </w:p>
        </w:tc>
        <w:tc>
          <w:tcPr>
            <w:tcW w:w="3147" w:type="pct"/>
            <w:tcBorders>
              <w:top w:val="nil"/>
              <w:left w:val="nil"/>
              <w:bottom w:val="single" w:color="auto" w:sz="4" w:space="0"/>
              <w:right w:val="single" w:color="auto" w:sz="4" w:space="0"/>
            </w:tcBorders>
            <w:shd w:val="clear" w:color="auto" w:fill="auto"/>
            <w:vAlign w:val="center"/>
          </w:tcPr>
          <w:p w14:paraId="0477E31A">
            <w:pPr>
              <w:widowControl/>
              <w:adjustRightInd w:val="0"/>
              <w:jc w:val="center"/>
              <w:rPr>
                <w:rFonts w:cs="Times New Roman"/>
                <w:kern w:val="0"/>
                <w:szCs w:val="24"/>
              </w:rPr>
            </w:pPr>
            <w:r>
              <w:rPr>
                <w:rFonts w:cs="Times New Roman"/>
                <w:kern w:val="0"/>
                <w:szCs w:val="24"/>
              </w:rPr>
              <w:t>数据融合中心建设工程</w:t>
            </w:r>
          </w:p>
        </w:tc>
        <w:tc>
          <w:tcPr>
            <w:tcW w:w="383" w:type="pct"/>
            <w:tcBorders>
              <w:top w:val="nil"/>
              <w:left w:val="nil"/>
              <w:bottom w:val="single" w:color="auto" w:sz="4" w:space="0"/>
              <w:right w:val="single" w:color="auto" w:sz="4" w:space="0"/>
            </w:tcBorders>
            <w:shd w:val="clear" w:color="auto" w:fill="auto"/>
            <w:vAlign w:val="center"/>
          </w:tcPr>
          <w:p w14:paraId="06501219">
            <w:pPr>
              <w:widowControl/>
              <w:adjustRightInd w:val="0"/>
              <w:jc w:val="center"/>
              <w:rPr>
                <w:rFonts w:cs="Times New Roman"/>
                <w:kern w:val="0"/>
                <w:szCs w:val="24"/>
              </w:rPr>
            </w:pPr>
            <w:r>
              <w:rPr>
                <w:rFonts w:cs="Times New Roman"/>
                <w:kern w:val="0"/>
                <w:szCs w:val="24"/>
              </w:rPr>
              <w:t>0.06</w:t>
            </w:r>
          </w:p>
        </w:tc>
        <w:tc>
          <w:tcPr>
            <w:tcW w:w="363" w:type="pct"/>
            <w:tcBorders>
              <w:top w:val="nil"/>
              <w:left w:val="nil"/>
              <w:bottom w:val="single" w:color="auto" w:sz="4" w:space="0"/>
              <w:right w:val="single" w:color="auto" w:sz="4" w:space="0"/>
            </w:tcBorders>
            <w:shd w:val="clear" w:color="auto" w:fill="auto"/>
            <w:vAlign w:val="center"/>
          </w:tcPr>
          <w:p w14:paraId="48D2FEA8">
            <w:pPr>
              <w:widowControl/>
              <w:adjustRightInd w:val="0"/>
              <w:jc w:val="center"/>
              <w:rPr>
                <w:rFonts w:cs="Times New Roman"/>
                <w:kern w:val="0"/>
                <w:szCs w:val="24"/>
              </w:rPr>
            </w:pPr>
            <w:r>
              <w:rPr>
                <w:rFonts w:cs="Times New Roman"/>
                <w:kern w:val="0"/>
                <w:szCs w:val="24"/>
              </w:rPr>
              <w:t>0.19</w:t>
            </w:r>
          </w:p>
        </w:tc>
        <w:tc>
          <w:tcPr>
            <w:tcW w:w="363" w:type="pct"/>
            <w:tcBorders>
              <w:top w:val="nil"/>
              <w:left w:val="nil"/>
              <w:bottom w:val="single" w:color="auto" w:sz="4" w:space="0"/>
              <w:right w:val="single" w:color="auto" w:sz="4" w:space="0"/>
            </w:tcBorders>
            <w:shd w:val="clear" w:color="auto" w:fill="auto"/>
            <w:vAlign w:val="center"/>
          </w:tcPr>
          <w:p w14:paraId="61804800">
            <w:pPr>
              <w:widowControl/>
              <w:adjustRightInd w:val="0"/>
              <w:jc w:val="center"/>
              <w:rPr>
                <w:rFonts w:cs="Times New Roman"/>
                <w:kern w:val="0"/>
                <w:szCs w:val="24"/>
              </w:rPr>
            </w:pPr>
            <w:r>
              <w:rPr>
                <w:rFonts w:cs="Times New Roman"/>
                <w:kern w:val="0"/>
                <w:szCs w:val="24"/>
              </w:rPr>
              <w:t>0.25</w:t>
            </w:r>
          </w:p>
        </w:tc>
      </w:tr>
      <w:tr w14:paraId="12208C38">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51D1A812">
            <w:pPr>
              <w:widowControl/>
              <w:adjustRightInd w:val="0"/>
              <w:jc w:val="left"/>
              <w:rPr>
                <w:rFonts w:cs="Times New Roman"/>
                <w:kern w:val="0"/>
                <w:szCs w:val="24"/>
              </w:rPr>
            </w:pPr>
          </w:p>
        </w:tc>
        <w:tc>
          <w:tcPr>
            <w:tcW w:w="169" w:type="pct"/>
            <w:tcBorders>
              <w:top w:val="nil"/>
              <w:left w:val="nil"/>
              <w:bottom w:val="single" w:color="auto" w:sz="4" w:space="0"/>
              <w:right w:val="single" w:color="auto" w:sz="4" w:space="0"/>
            </w:tcBorders>
            <w:shd w:val="clear" w:color="auto" w:fill="auto"/>
            <w:vAlign w:val="center"/>
          </w:tcPr>
          <w:p w14:paraId="732996C6">
            <w:pPr>
              <w:widowControl/>
              <w:adjustRightInd w:val="0"/>
              <w:jc w:val="center"/>
              <w:rPr>
                <w:rFonts w:cs="Times New Roman"/>
                <w:kern w:val="0"/>
                <w:szCs w:val="24"/>
              </w:rPr>
            </w:pPr>
            <w:r>
              <w:rPr>
                <w:rFonts w:cs="Times New Roman"/>
                <w:kern w:val="0"/>
                <w:szCs w:val="24"/>
              </w:rPr>
              <w:t>11</w:t>
            </w:r>
          </w:p>
        </w:tc>
        <w:tc>
          <w:tcPr>
            <w:tcW w:w="3147" w:type="pct"/>
            <w:tcBorders>
              <w:top w:val="nil"/>
              <w:left w:val="nil"/>
              <w:bottom w:val="single" w:color="auto" w:sz="4" w:space="0"/>
              <w:right w:val="single" w:color="auto" w:sz="4" w:space="0"/>
            </w:tcBorders>
            <w:shd w:val="clear" w:color="auto" w:fill="auto"/>
            <w:vAlign w:val="center"/>
          </w:tcPr>
          <w:p w14:paraId="1D8A1AC6">
            <w:pPr>
              <w:widowControl/>
              <w:adjustRightInd w:val="0"/>
              <w:jc w:val="center"/>
              <w:rPr>
                <w:rFonts w:cs="Times New Roman"/>
                <w:kern w:val="0"/>
                <w:szCs w:val="24"/>
              </w:rPr>
            </w:pPr>
            <w:r>
              <w:rPr>
                <w:rFonts w:cs="Times New Roman"/>
                <w:kern w:val="0"/>
                <w:szCs w:val="24"/>
              </w:rPr>
              <w:t>智能业务应用及保障体系</w:t>
            </w:r>
          </w:p>
        </w:tc>
        <w:tc>
          <w:tcPr>
            <w:tcW w:w="383" w:type="pct"/>
            <w:tcBorders>
              <w:top w:val="nil"/>
              <w:left w:val="nil"/>
              <w:bottom w:val="single" w:color="auto" w:sz="4" w:space="0"/>
              <w:right w:val="single" w:color="auto" w:sz="4" w:space="0"/>
            </w:tcBorders>
            <w:shd w:val="clear" w:color="auto" w:fill="auto"/>
            <w:vAlign w:val="center"/>
          </w:tcPr>
          <w:p w14:paraId="5631E6AF">
            <w:pPr>
              <w:widowControl/>
              <w:adjustRightInd w:val="0"/>
              <w:jc w:val="center"/>
              <w:rPr>
                <w:rFonts w:cs="Times New Roman"/>
                <w:kern w:val="0"/>
                <w:szCs w:val="24"/>
              </w:rPr>
            </w:pPr>
            <w:r>
              <w:rPr>
                <w:rFonts w:cs="Times New Roman"/>
                <w:kern w:val="0"/>
                <w:szCs w:val="24"/>
              </w:rPr>
              <w:t>0.25</w:t>
            </w:r>
          </w:p>
        </w:tc>
        <w:tc>
          <w:tcPr>
            <w:tcW w:w="363" w:type="pct"/>
            <w:tcBorders>
              <w:top w:val="nil"/>
              <w:left w:val="nil"/>
              <w:bottom w:val="single" w:color="auto" w:sz="4" w:space="0"/>
              <w:right w:val="single" w:color="auto" w:sz="4" w:space="0"/>
            </w:tcBorders>
            <w:shd w:val="clear" w:color="auto" w:fill="auto"/>
            <w:vAlign w:val="center"/>
          </w:tcPr>
          <w:p w14:paraId="536BAFB9">
            <w:pPr>
              <w:widowControl/>
              <w:adjustRightInd w:val="0"/>
              <w:jc w:val="center"/>
              <w:rPr>
                <w:rFonts w:cs="Times New Roman"/>
                <w:kern w:val="0"/>
                <w:szCs w:val="24"/>
              </w:rPr>
            </w:pPr>
            <w:r>
              <w:rPr>
                <w:rFonts w:cs="Times New Roman"/>
                <w:kern w:val="0"/>
                <w:szCs w:val="24"/>
              </w:rPr>
              <w:t>1.04</w:t>
            </w:r>
          </w:p>
        </w:tc>
        <w:tc>
          <w:tcPr>
            <w:tcW w:w="363" w:type="pct"/>
            <w:tcBorders>
              <w:top w:val="nil"/>
              <w:left w:val="nil"/>
              <w:bottom w:val="single" w:color="auto" w:sz="4" w:space="0"/>
              <w:right w:val="single" w:color="auto" w:sz="4" w:space="0"/>
            </w:tcBorders>
            <w:shd w:val="clear" w:color="auto" w:fill="auto"/>
            <w:vAlign w:val="center"/>
          </w:tcPr>
          <w:p w14:paraId="6541387A">
            <w:pPr>
              <w:widowControl/>
              <w:adjustRightInd w:val="0"/>
              <w:jc w:val="center"/>
              <w:rPr>
                <w:rFonts w:cs="Times New Roman"/>
                <w:kern w:val="0"/>
                <w:szCs w:val="24"/>
              </w:rPr>
            </w:pPr>
            <w:r>
              <w:rPr>
                <w:rFonts w:cs="Times New Roman"/>
                <w:kern w:val="0"/>
                <w:szCs w:val="24"/>
              </w:rPr>
              <w:t>1.29</w:t>
            </w:r>
          </w:p>
        </w:tc>
      </w:tr>
      <w:tr w14:paraId="56162B8C">
        <w:tblPrEx>
          <w:tblCellMar>
            <w:top w:w="0" w:type="dxa"/>
            <w:left w:w="108" w:type="dxa"/>
            <w:bottom w:w="0" w:type="dxa"/>
            <w:right w:w="108" w:type="dxa"/>
          </w:tblCellMar>
        </w:tblPrEx>
        <w:trPr>
          <w:trHeight w:val="20" w:hRule="atLeast"/>
        </w:trPr>
        <w:tc>
          <w:tcPr>
            <w:tcW w:w="575" w:type="pct"/>
            <w:vMerge w:val="continue"/>
            <w:tcBorders>
              <w:top w:val="nil"/>
              <w:left w:val="single" w:color="auto" w:sz="4" w:space="0"/>
              <w:bottom w:val="single" w:color="auto" w:sz="4" w:space="0"/>
              <w:right w:val="single" w:color="auto" w:sz="4" w:space="0"/>
            </w:tcBorders>
            <w:shd w:val="clear" w:color="auto" w:fill="auto"/>
            <w:vAlign w:val="center"/>
          </w:tcPr>
          <w:p w14:paraId="05B00967">
            <w:pPr>
              <w:widowControl/>
              <w:adjustRightInd w:val="0"/>
              <w:jc w:val="left"/>
              <w:rPr>
                <w:rFonts w:cs="Times New Roman"/>
                <w:kern w:val="0"/>
                <w:szCs w:val="24"/>
              </w:rPr>
            </w:pPr>
          </w:p>
        </w:tc>
        <w:tc>
          <w:tcPr>
            <w:tcW w:w="3316" w:type="pct"/>
            <w:gridSpan w:val="2"/>
            <w:tcBorders>
              <w:top w:val="single" w:color="auto" w:sz="4" w:space="0"/>
              <w:left w:val="nil"/>
              <w:bottom w:val="single" w:color="auto" w:sz="4" w:space="0"/>
              <w:right w:val="single" w:color="auto" w:sz="4" w:space="0"/>
            </w:tcBorders>
            <w:shd w:val="clear" w:color="auto" w:fill="auto"/>
            <w:vAlign w:val="center"/>
          </w:tcPr>
          <w:p w14:paraId="4D656BB7">
            <w:pPr>
              <w:widowControl/>
              <w:adjustRightInd w:val="0"/>
              <w:jc w:val="center"/>
              <w:rPr>
                <w:rFonts w:cs="Times New Roman"/>
                <w:b/>
                <w:bCs/>
                <w:kern w:val="0"/>
                <w:szCs w:val="24"/>
              </w:rPr>
            </w:pPr>
            <w:r>
              <w:rPr>
                <w:rFonts w:cs="Times New Roman"/>
                <w:b/>
                <w:bCs/>
                <w:kern w:val="0"/>
                <w:szCs w:val="24"/>
              </w:rPr>
              <w:t>小计</w:t>
            </w:r>
          </w:p>
        </w:tc>
        <w:tc>
          <w:tcPr>
            <w:tcW w:w="383" w:type="pct"/>
            <w:tcBorders>
              <w:top w:val="nil"/>
              <w:left w:val="nil"/>
              <w:bottom w:val="single" w:color="auto" w:sz="4" w:space="0"/>
              <w:right w:val="single" w:color="auto" w:sz="4" w:space="0"/>
            </w:tcBorders>
            <w:shd w:val="clear" w:color="auto" w:fill="auto"/>
            <w:vAlign w:val="center"/>
          </w:tcPr>
          <w:p w14:paraId="46E22744">
            <w:pPr>
              <w:widowControl/>
              <w:adjustRightInd w:val="0"/>
              <w:jc w:val="center"/>
              <w:rPr>
                <w:rFonts w:cs="Times New Roman"/>
                <w:b/>
                <w:bCs/>
                <w:kern w:val="0"/>
                <w:szCs w:val="24"/>
              </w:rPr>
            </w:pPr>
            <w:r>
              <w:rPr>
                <w:rFonts w:cs="Times New Roman"/>
                <w:b/>
                <w:bCs/>
                <w:kern w:val="0"/>
                <w:szCs w:val="24"/>
              </w:rPr>
              <w:t>0.61</w:t>
            </w:r>
          </w:p>
        </w:tc>
        <w:tc>
          <w:tcPr>
            <w:tcW w:w="363" w:type="pct"/>
            <w:tcBorders>
              <w:top w:val="nil"/>
              <w:left w:val="nil"/>
              <w:bottom w:val="single" w:color="auto" w:sz="4" w:space="0"/>
              <w:right w:val="single" w:color="auto" w:sz="4" w:space="0"/>
            </w:tcBorders>
            <w:shd w:val="clear" w:color="auto" w:fill="auto"/>
            <w:vAlign w:val="center"/>
          </w:tcPr>
          <w:p w14:paraId="6D094919">
            <w:pPr>
              <w:widowControl/>
              <w:adjustRightInd w:val="0"/>
              <w:jc w:val="center"/>
              <w:rPr>
                <w:rFonts w:cs="Times New Roman"/>
                <w:b/>
                <w:bCs/>
                <w:kern w:val="0"/>
                <w:szCs w:val="24"/>
              </w:rPr>
            </w:pPr>
            <w:r>
              <w:rPr>
                <w:rFonts w:cs="Times New Roman"/>
                <w:b/>
                <w:bCs/>
                <w:kern w:val="0"/>
                <w:szCs w:val="24"/>
              </w:rPr>
              <w:t>1.73</w:t>
            </w:r>
          </w:p>
        </w:tc>
        <w:tc>
          <w:tcPr>
            <w:tcW w:w="363" w:type="pct"/>
            <w:tcBorders>
              <w:top w:val="nil"/>
              <w:left w:val="nil"/>
              <w:bottom w:val="single" w:color="auto" w:sz="4" w:space="0"/>
              <w:right w:val="single" w:color="auto" w:sz="4" w:space="0"/>
            </w:tcBorders>
            <w:shd w:val="clear" w:color="auto" w:fill="auto"/>
            <w:vAlign w:val="center"/>
          </w:tcPr>
          <w:p w14:paraId="1846256B">
            <w:pPr>
              <w:widowControl/>
              <w:adjustRightInd w:val="0"/>
              <w:jc w:val="center"/>
              <w:rPr>
                <w:rFonts w:cs="Times New Roman"/>
                <w:b/>
                <w:bCs/>
                <w:kern w:val="0"/>
                <w:szCs w:val="24"/>
              </w:rPr>
            </w:pPr>
            <w:r>
              <w:rPr>
                <w:rFonts w:cs="Times New Roman"/>
                <w:b/>
                <w:bCs/>
                <w:kern w:val="0"/>
                <w:szCs w:val="24"/>
              </w:rPr>
              <w:t>2.34</w:t>
            </w:r>
          </w:p>
        </w:tc>
      </w:tr>
      <w:tr w14:paraId="7B1906A4">
        <w:tblPrEx>
          <w:tblCellMar>
            <w:top w:w="0" w:type="dxa"/>
            <w:left w:w="108" w:type="dxa"/>
            <w:bottom w:w="0" w:type="dxa"/>
            <w:right w:w="108" w:type="dxa"/>
          </w:tblCellMar>
        </w:tblPrEx>
        <w:trPr>
          <w:trHeight w:val="20" w:hRule="atLeast"/>
        </w:trPr>
        <w:tc>
          <w:tcPr>
            <w:tcW w:w="3891"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2B91841C">
            <w:pPr>
              <w:widowControl/>
              <w:adjustRightInd w:val="0"/>
              <w:jc w:val="center"/>
              <w:rPr>
                <w:rFonts w:cs="Times New Roman"/>
                <w:b/>
                <w:bCs/>
                <w:kern w:val="0"/>
                <w:szCs w:val="24"/>
              </w:rPr>
            </w:pPr>
            <w:r>
              <w:rPr>
                <w:rFonts w:cs="Times New Roman"/>
                <w:b/>
                <w:bCs/>
                <w:kern w:val="0"/>
                <w:szCs w:val="24"/>
              </w:rPr>
              <w:t>合计</w:t>
            </w:r>
          </w:p>
        </w:tc>
        <w:tc>
          <w:tcPr>
            <w:tcW w:w="383" w:type="pct"/>
            <w:tcBorders>
              <w:top w:val="nil"/>
              <w:left w:val="nil"/>
              <w:bottom w:val="single" w:color="auto" w:sz="4" w:space="0"/>
              <w:right w:val="single" w:color="auto" w:sz="4" w:space="0"/>
            </w:tcBorders>
            <w:shd w:val="clear" w:color="auto" w:fill="auto"/>
            <w:vAlign w:val="center"/>
          </w:tcPr>
          <w:p w14:paraId="0885EF61">
            <w:pPr>
              <w:widowControl/>
              <w:adjustRightInd w:val="0"/>
              <w:jc w:val="center"/>
              <w:rPr>
                <w:rFonts w:cs="Times New Roman"/>
                <w:kern w:val="0"/>
                <w:szCs w:val="24"/>
              </w:rPr>
            </w:pPr>
            <w:r>
              <w:rPr>
                <w:rFonts w:cs="Times New Roman"/>
                <w:kern w:val="0"/>
                <w:szCs w:val="24"/>
              </w:rPr>
              <w:t>9.6</w:t>
            </w:r>
          </w:p>
        </w:tc>
        <w:tc>
          <w:tcPr>
            <w:tcW w:w="363" w:type="pct"/>
            <w:tcBorders>
              <w:top w:val="nil"/>
              <w:left w:val="nil"/>
              <w:bottom w:val="single" w:color="auto" w:sz="4" w:space="0"/>
              <w:right w:val="single" w:color="auto" w:sz="4" w:space="0"/>
            </w:tcBorders>
            <w:shd w:val="clear" w:color="auto" w:fill="auto"/>
            <w:vAlign w:val="center"/>
          </w:tcPr>
          <w:p w14:paraId="153D217A">
            <w:pPr>
              <w:widowControl/>
              <w:adjustRightInd w:val="0"/>
              <w:jc w:val="center"/>
              <w:rPr>
                <w:rFonts w:cs="Times New Roman"/>
                <w:kern w:val="0"/>
                <w:szCs w:val="24"/>
              </w:rPr>
            </w:pPr>
            <w:r>
              <w:rPr>
                <w:rFonts w:cs="Times New Roman"/>
                <w:kern w:val="0"/>
                <w:szCs w:val="24"/>
              </w:rPr>
              <w:t>7.33</w:t>
            </w:r>
          </w:p>
        </w:tc>
        <w:tc>
          <w:tcPr>
            <w:tcW w:w="363" w:type="pct"/>
            <w:tcBorders>
              <w:top w:val="nil"/>
              <w:left w:val="nil"/>
              <w:bottom w:val="single" w:color="auto" w:sz="4" w:space="0"/>
              <w:right w:val="single" w:color="auto" w:sz="4" w:space="0"/>
            </w:tcBorders>
            <w:shd w:val="clear" w:color="auto" w:fill="auto"/>
            <w:vAlign w:val="center"/>
          </w:tcPr>
          <w:p w14:paraId="6539F280">
            <w:pPr>
              <w:widowControl/>
              <w:adjustRightInd w:val="0"/>
              <w:jc w:val="center"/>
              <w:rPr>
                <w:rFonts w:cs="Times New Roman"/>
                <w:kern w:val="0"/>
                <w:szCs w:val="24"/>
              </w:rPr>
            </w:pPr>
            <w:r>
              <w:rPr>
                <w:rFonts w:cs="Times New Roman"/>
                <w:kern w:val="0"/>
                <w:szCs w:val="24"/>
              </w:rPr>
              <w:t>16.93</w:t>
            </w:r>
          </w:p>
        </w:tc>
      </w:tr>
    </w:tbl>
    <w:p w14:paraId="2EF533DC"/>
    <w:p w14:paraId="370C8670">
      <w:pPr>
        <w:widowControl/>
        <w:snapToGrid/>
        <w:spacing w:line="240" w:lineRule="auto"/>
        <w:jc w:val="left"/>
        <w:rPr>
          <w:rFonts w:eastAsia="黑体" w:cs="Times New Roman"/>
          <w:b/>
          <w:bCs/>
          <w:sz w:val="32"/>
          <w:szCs w:val="48"/>
        </w:rPr>
      </w:pPr>
    </w:p>
    <w:p w14:paraId="749B68CC">
      <w:pPr>
        <w:widowControl/>
        <w:snapToGrid/>
        <w:spacing w:line="240" w:lineRule="auto"/>
        <w:jc w:val="left"/>
        <w:rPr>
          <w:rFonts w:eastAsia="黑体" w:cs="Times New Roman"/>
          <w:b/>
          <w:bCs/>
          <w:sz w:val="32"/>
          <w:szCs w:val="48"/>
        </w:rPr>
        <w:sectPr>
          <w:pgSz w:w="23811" w:h="16838" w:orient="landscape"/>
          <w:pgMar w:top="1800" w:right="1440" w:bottom="1800" w:left="1440" w:header="851" w:footer="992" w:gutter="0"/>
          <w:cols w:space="425" w:num="1"/>
          <w:docGrid w:type="lines" w:linePitch="326" w:charSpace="0"/>
        </w:sectPr>
      </w:pPr>
    </w:p>
    <w:p w14:paraId="4C20ED5E">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1" w:name="_Toc198652155"/>
      <w:r>
        <w:rPr>
          <w:rFonts w:ascii="Times New Roman" w:hAnsi="Times New Roman" w:eastAsia="黑体" w:cs="Times New Roman"/>
          <w:b w:val="0"/>
          <w:bCs w:val="0"/>
          <w:kern w:val="0"/>
          <w:sz w:val="28"/>
          <w:szCs w:val="28"/>
        </w:rPr>
        <w:t>附图1  九原区行政区划图</w:t>
      </w:r>
      <w:bookmarkEnd w:id="251"/>
    </w:p>
    <w:p w14:paraId="263F0CE3">
      <w:pPr>
        <w:jc w:val="center"/>
        <w:rPr>
          <w:rFonts w:cs="Times New Roman"/>
        </w:rPr>
      </w:pPr>
      <w:r>
        <w:drawing>
          <wp:inline distT="0" distB="0" distL="0" distR="0">
            <wp:extent cx="8288655" cy="4131310"/>
            <wp:effectExtent l="0" t="0" r="0" b="2540"/>
            <wp:docPr id="1380856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56305" name="图片 1"/>
                    <pic:cNvPicPr>
                      <a:picLocks noChangeAspect="1"/>
                    </pic:cNvPicPr>
                  </pic:nvPicPr>
                  <pic:blipFill>
                    <a:blip r:embed="rId60"/>
                    <a:stretch>
                      <a:fillRect/>
                    </a:stretch>
                  </pic:blipFill>
                  <pic:spPr>
                    <a:xfrm>
                      <a:off x="0" y="0"/>
                      <a:ext cx="8298930" cy="4136384"/>
                    </a:xfrm>
                    <a:prstGeom prst="rect">
                      <a:avLst/>
                    </a:prstGeom>
                  </pic:spPr>
                </pic:pic>
              </a:graphicData>
            </a:graphic>
          </wp:inline>
        </w:drawing>
      </w:r>
    </w:p>
    <w:p w14:paraId="73C43E56">
      <w:pPr>
        <w:jc w:val="center"/>
        <w:rPr>
          <w:rFonts w:cs="Times New Roman"/>
        </w:rPr>
        <w:sectPr>
          <w:pgSz w:w="16838" w:h="11906" w:orient="landscape"/>
          <w:pgMar w:top="1800" w:right="1440" w:bottom="1800" w:left="1440" w:header="851" w:footer="992" w:gutter="0"/>
          <w:cols w:space="425" w:num="1"/>
          <w:docGrid w:type="lines" w:linePitch="326" w:charSpace="0"/>
        </w:sectPr>
      </w:pPr>
    </w:p>
    <w:p w14:paraId="1E0CAA5D">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2" w:name="_Toc198652156"/>
      <w:r>
        <w:rPr>
          <w:rFonts w:ascii="Times New Roman" w:hAnsi="Times New Roman" w:eastAsia="黑体" w:cs="Times New Roman"/>
          <w:b w:val="0"/>
          <w:bCs w:val="0"/>
          <w:kern w:val="0"/>
          <w:sz w:val="28"/>
          <w:szCs w:val="28"/>
        </w:rPr>
        <w:t>附图2  九原区地形地貌图</w:t>
      </w:r>
      <w:bookmarkEnd w:id="252"/>
    </w:p>
    <w:p w14:paraId="66F080FB">
      <w:pPr>
        <w:jc w:val="center"/>
        <w:rPr>
          <w:rFonts w:cs="Times New Roman"/>
        </w:rPr>
      </w:pPr>
      <w:r>
        <w:drawing>
          <wp:inline distT="0" distB="0" distL="0" distR="0">
            <wp:extent cx="8385810" cy="3933190"/>
            <wp:effectExtent l="0" t="0" r="0" b="0"/>
            <wp:docPr id="2017891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91030" name="图片 1"/>
                    <pic:cNvPicPr>
                      <a:picLocks noChangeAspect="1"/>
                    </pic:cNvPicPr>
                  </pic:nvPicPr>
                  <pic:blipFill>
                    <a:blip r:embed="rId61"/>
                    <a:stretch>
                      <a:fillRect/>
                    </a:stretch>
                  </pic:blipFill>
                  <pic:spPr>
                    <a:xfrm>
                      <a:off x="0" y="0"/>
                      <a:ext cx="8410267" cy="3944907"/>
                    </a:xfrm>
                    <a:prstGeom prst="rect">
                      <a:avLst/>
                    </a:prstGeom>
                  </pic:spPr>
                </pic:pic>
              </a:graphicData>
            </a:graphic>
          </wp:inline>
        </w:drawing>
      </w:r>
    </w:p>
    <w:p w14:paraId="09AC35EE">
      <w:pPr>
        <w:jc w:val="center"/>
        <w:rPr>
          <w:rFonts w:cs="Times New Roman"/>
        </w:rPr>
      </w:pPr>
    </w:p>
    <w:p w14:paraId="19F3A9AD">
      <w:pPr>
        <w:pStyle w:val="3"/>
        <w:widowControl/>
        <w:adjustRightInd w:val="0"/>
        <w:spacing w:before="0" w:after="0" w:line="360" w:lineRule="auto"/>
        <w:jc w:val="left"/>
        <w:rPr>
          <w:rFonts w:ascii="Times New Roman" w:hAnsi="Times New Roman" w:eastAsia="黑体" w:cs="Times New Roman"/>
          <w:b w:val="0"/>
          <w:bCs w:val="0"/>
          <w:kern w:val="0"/>
          <w:sz w:val="28"/>
          <w:szCs w:val="28"/>
        </w:rPr>
        <w:sectPr>
          <w:pgSz w:w="16838" w:h="11906" w:orient="landscape"/>
          <w:pgMar w:top="1800" w:right="1440" w:bottom="1800" w:left="1440" w:header="851" w:footer="992" w:gutter="0"/>
          <w:cols w:space="425" w:num="1"/>
          <w:docGrid w:type="lines" w:linePitch="326" w:charSpace="0"/>
        </w:sectPr>
      </w:pPr>
    </w:p>
    <w:p w14:paraId="06CC5C86">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3" w:name="_Toc198652157"/>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3</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包头市九原区</w:t>
      </w:r>
      <w:r>
        <w:rPr>
          <w:rFonts w:ascii="Times New Roman" w:hAnsi="Times New Roman" w:eastAsia="黑体" w:cs="Times New Roman"/>
          <w:b w:val="0"/>
          <w:bCs w:val="0"/>
          <w:kern w:val="0"/>
          <w:sz w:val="28"/>
          <w:szCs w:val="28"/>
        </w:rPr>
        <w:t>河流水系图</w:t>
      </w:r>
      <w:bookmarkEnd w:id="253"/>
    </w:p>
    <w:p w14:paraId="5CCCADBB">
      <w:r>
        <w:drawing>
          <wp:inline distT="0" distB="0" distL="0" distR="0">
            <wp:extent cx="8863330" cy="4387850"/>
            <wp:effectExtent l="0" t="0" r="0" b="0"/>
            <wp:docPr id="438804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04773" name="图片 1"/>
                    <pic:cNvPicPr>
                      <a:picLocks noChangeAspect="1"/>
                    </pic:cNvPicPr>
                  </pic:nvPicPr>
                  <pic:blipFill>
                    <a:blip r:embed="rId62"/>
                    <a:stretch>
                      <a:fillRect/>
                    </a:stretch>
                  </pic:blipFill>
                  <pic:spPr>
                    <a:xfrm>
                      <a:off x="0" y="0"/>
                      <a:ext cx="8863330" cy="4387850"/>
                    </a:xfrm>
                    <a:prstGeom prst="rect">
                      <a:avLst/>
                    </a:prstGeom>
                  </pic:spPr>
                </pic:pic>
              </a:graphicData>
            </a:graphic>
          </wp:inline>
        </w:drawing>
      </w:r>
    </w:p>
    <w:p w14:paraId="4871B05B">
      <w:pPr>
        <w:adjustRightInd w:val="0"/>
        <w:jc w:val="center"/>
        <w:rPr>
          <w:rFonts w:eastAsia="仿宋_GB2312" w:cs="Times New Roman"/>
          <w:sz w:val="28"/>
          <w:szCs w:val="28"/>
        </w:rPr>
        <w:sectPr>
          <w:pgSz w:w="16838" w:h="11906" w:orient="landscape"/>
          <w:pgMar w:top="1800" w:right="1440" w:bottom="1800" w:left="1440" w:header="851" w:footer="992" w:gutter="0"/>
          <w:cols w:space="425" w:num="1"/>
          <w:docGrid w:type="lines" w:linePitch="326" w:charSpace="0"/>
        </w:sectPr>
      </w:pPr>
    </w:p>
    <w:p w14:paraId="2E2A5A1C">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4" w:name="_Toc198652158"/>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4</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昆都仑河九原区段河道整治工程布置图</w:t>
      </w:r>
      <w:bookmarkEnd w:id="254"/>
    </w:p>
    <w:p w14:paraId="1EB12DAF"/>
    <w:p w14:paraId="39AAB2EA"/>
    <w:p w14:paraId="2F68810B"/>
    <w:p w14:paraId="7665D0B9">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5325745"/>
            <wp:effectExtent l="0" t="0" r="2540" b="8255"/>
            <wp:docPr id="1626071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71164" name="图片 1"/>
                    <pic:cNvPicPr>
                      <a:picLocks noChangeAspect="1"/>
                    </pic:cNvPicPr>
                  </pic:nvPicPr>
                  <pic:blipFill>
                    <a:blip r:embed="rId63"/>
                    <a:stretch>
                      <a:fillRect/>
                    </a:stretch>
                  </pic:blipFill>
                  <pic:spPr>
                    <a:xfrm>
                      <a:off x="0" y="0"/>
                      <a:ext cx="5274310" cy="5325745"/>
                    </a:xfrm>
                    <a:prstGeom prst="rect">
                      <a:avLst/>
                    </a:prstGeom>
                  </pic:spPr>
                </pic:pic>
              </a:graphicData>
            </a:graphic>
          </wp:inline>
        </w:drawing>
      </w:r>
    </w:p>
    <w:p w14:paraId="3B05363A">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5" w:name="_Toc198652159"/>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5</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九原区梅力更沟河道治理工程布置图</w:t>
      </w:r>
      <w:bookmarkEnd w:id="255"/>
    </w:p>
    <w:p w14:paraId="755EBA00">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3191510"/>
            <wp:effectExtent l="0" t="0" r="2540" b="8890"/>
            <wp:docPr id="1115991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91143" name="图片 1"/>
                    <pic:cNvPicPr>
                      <a:picLocks noChangeAspect="1"/>
                    </pic:cNvPicPr>
                  </pic:nvPicPr>
                  <pic:blipFill>
                    <a:blip r:embed="rId64"/>
                    <a:stretch>
                      <a:fillRect/>
                    </a:stretch>
                  </pic:blipFill>
                  <pic:spPr>
                    <a:xfrm>
                      <a:off x="0" y="0"/>
                      <a:ext cx="5274310" cy="3191510"/>
                    </a:xfrm>
                    <a:prstGeom prst="rect">
                      <a:avLst/>
                    </a:prstGeom>
                  </pic:spPr>
                </pic:pic>
              </a:graphicData>
            </a:graphic>
          </wp:inline>
        </w:drawing>
      </w:r>
    </w:p>
    <w:p w14:paraId="4E1280BE">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56" w:name="_Toc198652160"/>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6</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九原区留宝窑子沟河道治理工程布置图</w:t>
      </w:r>
      <w:bookmarkEnd w:id="256"/>
    </w:p>
    <w:p w14:paraId="3CB3B167">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3488690"/>
            <wp:effectExtent l="0" t="0" r="2540" b="0"/>
            <wp:docPr id="792716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16569" name="图片 1"/>
                    <pic:cNvPicPr>
                      <a:picLocks noChangeAspect="1"/>
                    </pic:cNvPicPr>
                  </pic:nvPicPr>
                  <pic:blipFill>
                    <a:blip r:embed="rId65"/>
                    <a:stretch>
                      <a:fillRect/>
                    </a:stretch>
                  </pic:blipFill>
                  <pic:spPr>
                    <a:xfrm>
                      <a:off x="0" y="0"/>
                      <a:ext cx="5274310" cy="3488690"/>
                    </a:xfrm>
                    <a:prstGeom prst="rect">
                      <a:avLst/>
                    </a:prstGeom>
                  </pic:spPr>
                </pic:pic>
              </a:graphicData>
            </a:graphic>
          </wp:inline>
        </w:drawing>
      </w:r>
    </w:p>
    <w:p w14:paraId="03F91341">
      <w:pPr>
        <w:pStyle w:val="3"/>
        <w:widowControl/>
        <w:adjustRightInd w:val="0"/>
        <w:spacing w:before="0" w:after="0" w:line="360" w:lineRule="auto"/>
        <w:jc w:val="left"/>
        <w:rPr>
          <w:rFonts w:hint="eastAsia" w:eastAsia="仿宋_GB2312" w:cs="Times New Roman"/>
          <w:sz w:val="28"/>
          <w:szCs w:val="28"/>
        </w:rPr>
      </w:pPr>
      <w:bookmarkStart w:id="257" w:name="_Toc198652161"/>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7</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九原区大坝沟沟河道治理工程布置图</w:t>
      </w:r>
      <w:bookmarkEnd w:id="257"/>
    </w:p>
    <w:p w14:paraId="053A7D8B">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3009900"/>
            <wp:effectExtent l="0" t="0" r="2540" b="0"/>
            <wp:docPr id="2116295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95253" name="图片 1"/>
                    <pic:cNvPicPr>
                      <a:picLocks noChangeAspect="1"/>
                    </pic:cNvPicPr>
                  </pic:nvPicPr>
                  <pic:blipFill>
                    <a:blip r:embed="rId66"/>
                    <a:stretch>
                      <a:fillRect/>
                    </a:stretch>
                  </pic:blipFill>
                  <pic:spPr>
                    <a:xfrm>
                      <a:off x="0" y="0"/>
                      <a:ext cx="5274310" cy="3009900"/>
                    </a:xfrm>
                    <a:prstGeom prst="rect">
                      <a:avLst/>
                    </a:prstGeom>
                  </pic:spPr>
                </pic:pic>
              </a:graphicData>
            </a:graphic>
          </wp:inline>
        </w:drawing>
      </w:r>
    </w:p>
    <w:p w14:paraId="2FEEF791">
      <w:pPr>
        <w:pStyle w:val="3"/>
        <w:widowControl/>
        <w:adjustRightInd w:val="0"/>
        <w:spacing w:before="0" w:after="0" w:line="360" w:lineRule="auto"/>
        <w:jc w:val="left"/>
        <w:rPr>
          <w:rFonts w:hint="eastAsia" w:eastAsia="仿宋_GB2312" w:cs="Times New Roman"/>
          <w:sz w:val="28"/>
          <w:szCs w:val="28"/>
        </w:rPr>
      </w:pPr>
      <w:bookmarkStart w:id="258" w:name="_Toc198652162"/>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8</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九原区乌兰不浪沟河道治理工程布置图</w:t>
      </w:r>
      <w:bookmarkEnd w:id="258"/>
    </w:p>
    <w:p w14:paraId="79183AD9">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4636135"/>
            <wp:effectExtent l="0" t="0" r="2540" b="0"/>
            <wp:docPr id="2049180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80831" name="图片 1"/>
                    <pic:cNvPicPr>
                      <a:picLocks noChangeAspect="1"/>
                    </pic:cNvPicPr>
                  </pic:nvPicPr>
                  <pic:blipFill>
                    <a:blip r:embed="rId67"/>
                    <a:stretch>
                      <a:fillRect/>
                    </a:stretch>
                  </pic:blipFill>
                  <pic:spPr>
                    <a:xfrm>
                      <a:off x="0" y="0"/>
                      <a:ext cx="5274310" cy="4636135"/>
                    </a:xfrm>
                    <a:prstGeom prst="rect">
                      <a:avLst/>
                    </a:prstGeom>
                  </pic:spPr>
                </pic:pic>
              </a:graphicData>
            </a:graphic>
          </wp:inline>
        </w:drawing>
      </w:r>
    </w:p>
    <w:p w14:paraId="77484ACC">
      <w:pPr>
        <w:pStyle w:val="3"/>
        <w:widowControl/>
        <w:adjustRightInd w:val="0"/>
        <w:spacing w:before="0" w:after="0" w:line="360" w:lineRule="auto"/>
        <w:jc w:val="left"/>
        <w:rPr>
          <w:rFonts w:hint="eastAsia" w:eastAsia="仿宋_GB2312" w:cs="Times New Roman"/>
          <w:sz w:val="28"/>
          <w:szCs w:val="28"/>
        </w:rPr>
      </w:pPr>
      <w:bookmarkStart w:id="259" w:name="_Toc198652163"/>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9</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九原区白石头沟河道治理工程布置图</w:t>
      </w:r>
      <w:bookmarkEnd w:id="259"/>
    </w:p>
    <w:p w14:paraId="2122BB09">
      <w:pPr>
        <w:adjustRightInd w:val="0"/>
        <w:jc w:val="center"/>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drawing>
          <wp:inline distT="0" distB="0" distL="0" distR="0">
            <wp:extent cx="5274310" cy="3695700"/>
            <wp:effectExtent l="0" t="0" r="2540" b="0"/>
            <wp:docPr id="676001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01109" name="图片 1"/>
                    <pic:cNvPicPr>
                      <a:picLocks noChangeAspect="1"/>
                    </pic:cNvPicPr>
                  </pic:nvPicPr>
                  <pic:blipFill>
                    <a:blip r:embed="rId68"/>
                    <a:stretch>
                      <a:fillRect/>
                    </a:stretch>
                  </pic:blipFill>
                  <pic:spPr>
                    <a:xfrm>
                      <a:off x="0" y="0"/>
                      <a:ext cx="5274310" cy="3695700"/>
                    </a:xfrm>
                    <a:prstGeom prst="rect">
                      <a:avLst/>
                    </a:prstGeom>
                  </pic:spPr>
                </pic:pic>
              </a:graphicData>
            </a:graphic>
          </wp:inline>
        </w:drawing>
      </w:r>
    </w:p>
    <w:p w14:paraId="4C6E0A6E">
      <w:pPr>
        <w:pStyle w:val="3"/>
        <w:widowControl/>
        <w:adjustRightInd w:val="0"/>
        <w:spacing w:before="0" w:after="0" w:line="360" w:lineRule="auto"/>
        <w:jc w:val="left"/>
        <w:rPr>
          <w:rFonts w:hint="eastAsia" w:eastAsia="仿宋_GB2312" w:cs="Times New Roman"/>
          <w:sz w:val="28"/>
          <w:szCs w:val="28"/>
        </w:rPr>
      </w:pPr>
      <w:bookmarkStart w:id="260" w:name="_Toc198652164"/>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10</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九原区哈德门沟河道治理工程布置图</w:t>
      </w:r>
      <w:bookmarkEnd w:id="260"/>
    </w:p>
    <w:p w14:paraId="06CB6C9D">
      <w:pPr>
        <w:adjustRightInd w:val="0"/>
        <w:jc w:val="center"/>
        <w:rPr>
          <w:rFonts w:eastAsia="仿宋_GB2312" w:cs="Times New Roman"/>
          <w:sz w:val="28"/>
          <w:szCs w:val="28"/>
        </w:rPr>
      </w:pPr>
      <w:r>
        <w:drawing>
          <wp:inline distT="0" distB="0" distL="0" distR="0">
            <wp:extent cx="5248275" cy="7153275"/>
            <wp:effectExtent l="0" t="0" r="9525" b="9525"/>
            <wp:docPr id="669323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3173" name="图片 1"/>
                    <pic:cNvPicPr>
                      <a:picLocks noChangeAspect="1"/>
                    </pic:cNvPicPr>
                  </pic:nvPicPr>
                  <pic:blipFill>
                    <a:blip r:embed="rId69"/>
                    <a:stretch>
                      <a:fillRect/>
                    </a:stretch>
                  </pic:blipFill>
                  <pic:spPr>
                    <a:xfrm>
                      <a:off x="0" y="0"/>
                      <a:ext cx="5248275" cy="7153275"/>
                    </a:xfrm>
                    <a:prstGeom prst="rect">
                      <a:avLst/>
                    </a:prstGeom>
                  </pic:spPr>
                </pic:pic>
              </a:graphicData>
            </a:graphic>
          </wp:inline>
        </w:drawing>
      </w:r>
    </w:p>
    <w:p w14:paraId="3D141C68">
      <w:pPr>
        <w:widowControl/>
        <w:snapToGrid/>
        <w:spacing w:line="240" w:lineRule="auto"/>
        <w:jc w:val="left"/>
        <w:rPr>
          <w:rFonts w:eastAsia="仿宋_GB2312" w:cs="Times New Roman"/>
          <w:sz w:val="28"/>
          <w:szCs w:val="28"/>
        </w:rPr>
        <w:sectPr>
          <w:pgSz w:w="11906" w:h="16838"/>
          <w:pgMar w:top="1440" w:right="1800" w:bottom="1440" w:left="1800" w:header="851" w:footer="992" w:gutter="0"/>
          <w:cols w:space="425" w:num="1"/>
          <w:docGrid w:type="lines" w:linePitch="326" w:charSpace="0"/>
        </w:sectPr>
      </w:pPr>
      <w:r>
        <w:rPr>
          <w:rFonts w:eastAsia="仿宋_GB2312" w:cs="Times New Roman"/>
          <w:sz w:val="28"/>
          <w:szCs w:val="28"/>
        </w:rPr>
        <w:br w:type="page"/>
      </w:r>
    </w:p>
    <w:p w14:paraId="4E930473">
      <w:pPr>
        <w:pStyle w:val="3"/>
        <w:widowControl/>
        <w:adjustRightInd w:val="0"/>
        <w:spacing w:before="0" w:after="0" w:line="360" w:lineRule="auto"/>
        <w:jc w:val="left"/>
        <w:rPr>
          <w:rFonts w:ascii="Times New Roman" w:hAnsi="Times New Roman" w:eastAsia="黑体" w:cs="Times New Roman"/>
          <w:b w:val="0"/>
          <w:bCs w:val="0"/>
          <w:kern w:val="0"/>
          <w:sz w:val="28"/>
          <w:szCs w:val="28"/>
        </w:rPr>
      </w:pPr>
      <w:bookmarkStart w:id="261" w:name="_Toc198652165"/>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11</w:t>
      </w:r>
      <w:r>
        <w:rPr>
          <w:rFonts w:ascii="Times New Roman" w:hAnsi="Times New Roman" w:eastAsia="黑体" w:cs="Times New Roman"/>
          <w:b w:val="0"/>
          <w:bCs w:val="0"/>
          <w:kern w:val="0"/>
          <w:sz w:val="28"/>
          <w:szCs w:val="28"/>
        </w:rPr>
        <w:t xml:space="preserve">  </w:t>
      </w:r>
      <w:bookmarkStart w:id="262" w:name="_Hlk197591326"/>
      <w:r>
        <w:rPr>
          <w:rFonts w:hint="eastAsia" w:ascii="Times New Roman" w:hAnsi="Times New Roman" w:eastAsia="黑体" w:cs="Times New Roman"/>
          <w:b w:val="0"/>
          <w:bCs w:val="0"/>
          <w:kern w:val="0"/>
          <w:sz w:val="28"/>
          <w:szCs w:val="28"/>
        </w:rPr>
        <w:t>九原区三湖河灌区图</w:t>
      </w:r>
      <w:bookmarkEnd w:id="261"/>
      <w:bookmarkEnd w:id="262"/>
    </w:p>
    <w:p w14:paraId="78E78CF0">
      <w:r>
        <w:drawing>
          <wp:inline distT="0" distB="0" distL="0" distR="0">
            <wp:extent cx="8404860" cy="4876800"/>
            <wp:effectExtent l="0" t="0" r="0" b="0"/>
            <wp:docPr id="1789920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20255" name="图片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8424251" cy="4888622"/>
                    </a:xfrm>
                    <a:prstGeom prst="rect">
                      <a:avLst/>
                    </a:prstGeom>
                    <a:noFill/>
                    <a:ln>
                      <a:noFill/>
                    </a:ln>
                  </pic:spPr>
                </pic:pic>
              </a:graphicData>
            </a:graphic>
          </wp:inline>
        </w:drawing>
      </w:r>
    </w:p>
    <w:p w14:paraId="3D430BC4">
      <w:pPr>
        <w:pStyle w:val="3"/>
        <w:widowControl/>
        <w:adjustRightInd w:val="0"/>
        <w:spacing w:before="0" w:after="0" w:line="360" w:lineRule="auto"/>
        <w:jc w:val="left"/>
        <w:rPr>
          <w:rFonts w:ascii="Times New Roman" w:hAnsi="Times New Roman" w:eastAsia="黑体" w:cs="Times New Roman"/>
          <w:b w:val="0"/>
          <w:bCs w:val="0"/>
          <w:kern w:val="0"/>
          <w:sz w:val="28"/>
          <w:szCs w:val="28"/>
        </w:rPr>
      </w:pPr>
      <w:r>
        <w:rPr>
          <w:rFonts w:ascii="Times New Roman" w:hAnsi="Times New Roman" w:eastAsia="黑体" w:cs="Times New Roman"/>
          <w:b w:val="0"/>
          <w:bCs w:val="0"/>
          <w:kern w:val="0"/>
          <w:sz w:val="28"/>
          <w:szCs w:val="28"/>
        </w:rPr>
        <w:t>附图</w:t>
      </w:r>
      <w:r>
        <w:rPr>
          <w:rFonts w:hint="eastAsia" w:ascii="Times New Roman" w:hAnsi="Times New Roman" w:eastAsia="黑体" w:cs="Times New Roman"/>
          <w:b w:val="0"/>
          <w:bCs w:val="0"/>
          <w:kern w:val="0"/>
          <w:sz w:val="28"/>
          <w:szCs w:val="28"/>
        </w:rPr>
        <w:t>12</w:t>
      </w:r>
      <w:r>
        <w:rPr>
          <w:rFonts w:ascii="Times New Roman" w:hAnsi="Times New Roman" w:eastAsia="黑体" w:cs="Times New Roman"/>
          <w:b w:val="0"/>
          <w:bCs w:val="0"/>
          <w:kern w:val="0"/>
          <w:sz w:val="28"/>
          <w:szCs w:val="28"/>
        </w:rPr>
        <w:t xml:space="preserve">  </w:t>
      </w:r>
      <w:r>
        <w:rPr>
          <w:rFonts w:hint="eastAsia" w:ascii="Times New Roman" w:hAnsi="Times New Roman" w:eastAsia="黑体" w:cs="Times New Roman"/>
          <w:b w:val="0"/>
          <w:bCs w:val="0"/>
          <w:kern w:val="0"/>
          <w:sz w:val="28"/>
          <w:szCs w:val="28"/>
        </w:rPr>
        <w:t>九原区三湖河灌区支渠示意图</w:t>
      </w:r>
    </w:p>
    <w:p w14:paraId="56271577">
      <w:pPr>
        <w:adjustRightInd w:val="0"/>
        <w:jc w:val="center"/>
        <w:rPr>
          <w:rFonts w:eastAsia="仿宋_GB2312" w:cs="Times New Roman"/>
          <w:sz w:val="28"/>
          <w:szCs w:val="28"/>
        </w:rPr>
      </w:pPr>
      <w:r>
        <w:drawing>
          <wp:inline distT="0" distB="0" distL="0" distR="0">
            <wp:extent cx="8883650" cy="4482465"/>
            <wp:effectExtent l="0" t="0" r="0" b="0"/>
            <wp:docPr id="1169955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55093" name="图片 1"/>
                    <pic:cNvPicPr>
                      <a:picLocks noChangeAspect="1"/>
                    </pic:cNvPicPr>
                  </pic:nvPicPr>
                  <pic:blipFill>
                    <a:blip r:embed="rId71"/>
                    <a:stretch>
                      <a:fillRect/>
                    </a:stretch>
                  </pic:blipFill>
                  <pic:spPr>
                    <a:xfrm>
                      <a:off x="0" y="0"/>
                      <a:ext cx="8897213" cy="4489311"/>
                    </a:xfrm>
                    <a:prstGeom prst="rect">
                      <a:avLst/>
                    </a:prstGeom>
                  </pic:spPr>
                </pic:pic>
              </a:graphicData>
            </a:graphic>
          </wp:inline>
        </w:drawing>
      </w:r>
    </w:p>
    <w:sectPr>
      <w:pgSz w:w="16838" w:h="11906" w:orient="landscape"/>
      <w:pgMar w:top="1800" w:right="1440" w:bottom="1800" w:left="1440"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田氏方筆刷体"/>
    <w:panose1 w:val="00000000000000000000"/>
    <w:charset w:val="00"/>
    <w:family w:val="auto"/>
    <w:pitch w:val="default"/>
    <w:sig w:usb0="00000000" w:usb1="00000000" w:usb2="00000000" w:usb3="00000000" w:csb0="00000000" w:csb1="00000000"/>
  </w:font>
  <w:font w:name="田氏方筆刷体">
    <w:panose1 w:val="02000609000000000000"/>
    <w:charset w:val="80"/>
    <w:family w:val="auto"/>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C256C">
    <w:pPr>
      <w:pStyle w:val="11"/>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24572470"/>
      <w:docPartObj>
        <w:docPartGallery w:val="autotext"/>
      </w:docPartObj>
    </w:sdtPr>
    <w:sdtContent>
      <w:p w14:paraId="36A074A0">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6495C1">
    <w:pPr>
      <w:pStyle w:val="12"/>
      <w:pBdr>
        <w:bottom w:val="none" w:color="auto" w:sz="0" w:space="0"/>
      </w:pBdr>
    </w:pPr>
  </w:p>
  <w:p w14:paraId="5A658DCD"/>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780834">
    <w:pPr>
      <w:pStyle w:val="12"/>
      <w:pBdr>
        <w:bottom w:val="single" w:color="auto" w:sz="4" w:space="1"/>
      </w:pBdr>
      <w:adjustRightInd w:val="0"/>
      <w:spacing w:line="240" w:lineRule="auto"/>
      <w:rPr>
        <w:rFonts w:cs="Times New Roman"/>
        <w:sz w:val="21"/>
        <w:szCs w:val="21"/>
      </w:rPr>
    </w:pPr>
    <w:r>
      <w:rPr>
        <w:rFonts w:hint="eastAsia" w:cs="Times New Roman"/>
        <w:sz w:val="21"/>
        <w:szCs w:val="21"/>
      </w:rPr>
      <w:t>6 构建河湖生态保护网</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AE633F">
    <w:pPr>
      <w:pStyle w:val="12"/>
      <w:pBdr>
        <w:bottom w:val="single" w:color="auto" w:sz="4" w:space="1"/>
      </w:pBdr>
      <w:adjustRightInd w:val="0"/>
      <w:spacing w:line="240" w:lineRule="auto"/>
      <w:rPr>
        <w:rFonts w:cs="Times New Roman"/>
        <w:sz w:val="21"/>
        <w:szCs w:val="21"/>
      </w:rPr>
    </w:pPr>
    <w:r>
      <w:rPr>
        <w:rFonts w:hint="eastAsia" w:cs="Times New Roman"/>
        <w:sz w:val="21"/>
        <w:szCs w:val="21"/>
      </w:rPr>
      <w:t>7 打造智慧管理水网体系</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3F56F">
    <w:pPr>
      <w:pStyle w:val="12"/>
      <w:pBdr>
        <w:bottom w:val="single" w:color="auto" w:sz="4" w:space="1"/>
      </w:pBdr>
      <w:adjustRightInd w:val="0"/>
      <w:spacing w:line="240" w:lineRule="auto"/>
      <w:rPr>
        <w:rFonts w:cs="Times New Roman"/>
        <w:sz w:val="21"/>
        <w:szCs w:val="21"/>
      </w:rPr>
    </w:pPr>
    <w:r>
      <w:rPr>
        <w:rFonts w:hint="eastAsia" w:cs="Times New Roman"/>
        <w:sz w:val="21"/>
        <w:szCs w:val="21"/>
      </w:rPr>
      <w:t>8 推动水网高质量发展</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FFA844">
    <w:pPr>
      <w:pStyle w:val="12"/>
      <w:pBdr>
        <w:bottom w:val="single" w:color="auto" w:sz="4" w:space="1"/>
      </w:pBdr>
      <w:adjustRightInd w:val="0"/>
      <w:spacing w:line="240" w:lineRule="auto"/>
      <w:rPr>
        <w:rFonts w:cs="Times New Roman"/>
        <w:sz w:val="21"/>
        <w:szCs w:val="21"/>
      </w:rPr>
    </w:pPr>
    <w:r>
      <w:rPr>
        <w:rFonts w:hint="eastAsia" w:cs="Times New Roman"/>
        <w:sz w:val="21"/>
        <w:szCs w:val="21"/>
      </w:rPr>
      <w:t>9 重点项目与实施安排</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3F631">
    <w:pPr>
      <w:pStyle w:val="12"/>
      <w:adjustRightInd w:val="0"/>
      <w:spacing w:line="240" w:lineRule="auto"/>
      <w:rPr>
        <w:sz w:val="28"/>
        <w:szCs w:val="28"/>
      </w:rPr>
    </w:pPr>
    <w:r>
      <w:rPr>
        <w:rFonts w:hint="eastAsia"/>
        <w:sz w:val="21"/>
        <w:szCs w:val="21"/>
      </w:rPr>
      <w:t>10 环境影响评价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46BC42">
    <w:pPr>
      <w:pStyle w:val="12"/>
      <w:adjustRightInd w:val="0"/>
      <w:spacing w:line="240" w:lineRule="auto"/>
      <w:rPr>
        <w:sz w:val="28"/>
        <w:szCs w:val="28"/>
      </w:rPr>
    </w:pPr>
    <w:r>
      <w:rPr>
        <w:rFonts w:hint="eastAsia"/>
        <w:sz w:val="21"/>
        <w:szCs w:val="21"/>
      </w:rPr>
      <w:t>11 保障措施</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66EAF3">
    <w:pPr>
      <w:pStyle w:val="12"/>
      <w:adjustRightInd w:val="0"/>
      <w:spacing w:line="240" w:lineRule="auto"/>
      <w:rPr>
        <w:sz w:val="28"/>
        <w:szCs w:val="28"/>
      </w:rPr>
    </w:pPr>
    <w:r>
      <w:rPr>
        <w:rFonts w:hint="eastAsia"/>
        <w:sz w:val="21"/>
        <w:szCs w:val="21"/>
      </w:rPr>
      <w:t>附  表</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EDC2">
    <w:pPr>
      <w:pStyle w:val="12"/>
      <w:adjustRightInd w:val="0"/>
      <w:spacing w:line="240" w:lineRule="auto"/>
      <w:rPr>
        <w:sz w:val="28"/>
        <w:szCs w:val="28"/>
      </w:rPr>
    </w:pPr>
    <w:r>
      <w:rPr>
        <w:rFonts w:hint="eastAsia"/>
        <w:sz w:val="21"/>
        <w:szCs w:val="21"/>
      </w:rPr>
      <w:t>附  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C5A23B">
    <w:pPr>
      <w:pStyle w:val="1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EBEE36">
    <w:pPr>
      <w:pStyle w:val="12"/>
      <w:pBdr>
        <w:bottom w:val="single" w:color="auto" w:sz="4" w:space="1"/>
      </w:pBdr>
      <w:adjustRightInd w:val="0"/>
      <w:spacing w:line="240" w:lineRule="auto"/>
      <w:rPr>
        <w:rFonts w:cs="Times New Roman"/>
        <w:sz w:val="21"/>
        <w:szCs w:val="21"/>
      </w:rPr>
    </w:pPr>
    <w:r>
      <w:rPr>
        <w:rFonts w:cs="Times New Roman"/>
        <w:sz w:val="21"/>
        <w:szCs w:val="21"/>
      </w:rPr>
      <w:t xml:space="preserve">1 </w:t>
    </w:r>
    <w:r>
      <w:rPr>
        <w:rFonts w:hint="eastAsia" w:cs="Times New Roman"/>
        <w:sz w:val="21"/>
        <w:szCs w:val="21"/>
      </w:rPr>
      <w:t>建设基础与面临形势</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977847">
    <w:pPr>
      <w:pStyle w:val="12"/>
      <w:pBdr>
        <w:bottom w:val="single" w:color="auto" w:sz="4" w:space="1"/>
      </w:pBdr>
      <w:adjustRightInd w:val="0"/>
      <w:spacing w:line="240" w:lineRule="auto"/>
      <w:rPr>
        <w:rFonts w:cs="Times New Roman"/>
        <w:sz w:val="21"/>
        <w:szCs w:val="21"/>
      </w:rPr>
    </w:pPr>
    <w:r>
      <w:rPr>
        <w:rFonts w:hint="eastAsia" w:cs="Times New Roman"/>
        <w:sz w:val="21"/>
        <w:szCs w:val="21"/>
      </w:rPr>
      <w:t>2</w:t>
    </w:r>
    <w:r>
      <w:rPr>
        <w:rFonts w:cs="Times New Roman"/>
        <w:sz w:val="21"/>
        <w:szCs w:val="21"/>
      </w:rPr>
      <w:t xml:space="preserve"> </w:t>
    </w:r>
    <w:r>
      <w:rPr>
        <w:rFonts w:hint="eastAsia" w:cs="Times New Roman"/>
        <w:sz w:val="21"/>
        <w:szCs w:val="21"/>
      </w:rPr>
      <w:t>总体思路</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8B11A">
    <w:pPr>
      <w:pStyle w:val="12"/>
      <w:pBdr>
        <w:bottom w:val="single" w:color="auto" w:sz="4" w:space="1"/>
      </w:pBdr>
      <w:adjustRightInd w:val="0"/>
      <w:spacing w:line="240" w:lineRule="auto"/>
      <w:rPr>
        <w:rFonts w:cs="Times New Roman"/>
        <w:sz w:val="21"/>
        <w:szCs w:val="21"/>
      </w:rPr>
    </w:pPr>
    <w:r>
      <w:rPr>
        <w:rFonts w:hint="eastAsia" w:cs="Times New Roman"/>
        <w:sz w:val="21"/>
        <w:szCs w:val="21"/>
      </w:rPr>
      <w:t>3 构建防洪排涝网</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690C8">
    <w:pPr>
      <w:pStyle w:val="12"/>
      <w:pBdr>
        <w:bottom w:val="single" w:color="auto" w:sz="4" w:space="1"/>
      </w:pBdr>
      <w:adjustRightInd w:val="0"/>
      <w:spacing w:line="240" w:lineRule="auto"/>
      <w:rPr>
        <w:rFonts w:cs="Times New Roman"/>
        <w:sz w:val="21"/>
        <w:szCs w:val="21"/>
      </w:rPr>
    </w:pPr>
    <w:r>
      <w:rPr>
        <w:rFonts w:hint="eastAsia" w:cs="Times New Roman"/>
        <w:sz w:val="21"/>
        <w:szCs w:val="21"/>
      </w:rPr>
      <w:t>4 构建城乡供水网</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131E1">
    <w:pPr>
      <w:pStyle w:val="12"/>
      <w:pBdr>
        <w:bottom w:val="single" w:color="auto" w:sz="4" w:space="1"/>
      </w:pBdr>
      <w:adjustRightInd w:val="0"/>
      <w:spacing w:line="240" w:lineRule="auto"/>
    </w:pPr>
    <w:r>
      <w:rPr>
        <w:rFonts w:hint="eastAsia" w:cs="Times New Roman"/>
        <w:sz w:val="21"/>
        <w:szCs w:val="21"/>
      </w:rPr>
      <w:t>4 构建城乡供水网</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F39EC7">
    <w:pPr>
      <w:pStyle w:val="12"/>
      <w:pBdr>
        <w:bottom w:val="single" w:color="auto" w:sz="4" w:space="1"/>
      </w:pBdr>
      <w:adjustRightInd w:val="0"/>
      <w:spacing w:line="240" w:lineRule="auto"/>
      <w:rPr>
        <w:rFonts w:cs="Times New Roman"/>
        <w:sz w:val="21"/>
        <w:szCs w:val="21"/>
      </w:rPr>
    </w:pPr>
    <w:r>
      <w:rPr>
        <w:rFonts w:hint="eastAsia" w:cs="Times New Roman"/>
        <w:sz w:val="21"/>
        <w:szCs w:val="21"/>
      </w:rPr>
      <w:t>5 构建灌溉排水网</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D2554">
    <w:pPr>
      <w:pStyle w:val="12"/>
      <w:pBdr>
        <w:bottom w:val="single" w:color="auto" w:sz="4" w:space="1"/>
      </w:pBdr>
      <w:adjustRightInd w:val="0"/>
      <w:spacing w:line="240" w:lineRule="auto"/>
      <w:rPr>
        <w:rFonts w:cs="Times New Roman"/>
        <w:sz w:val="21"/>
        <w:szCs w:val="21"/>
      </w:rPr>
    </w:pPr>
    <w:r>
      <w:rPr>
        <w:rFonts w:hint="eastAsia" w:cs="Times New Roman"/>
        <w:sz w:val="21"/>
        <w:szCs w:val="21"/>
      </w:rPr>
      <w:t>6 构建河湖生态保护网</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7305C89"/>
    <w:multiLevelType w:val="multilevel"/>
    <w:tmpl w:val="07305C89"/>
    <w:lvl w:ilvl="0" w:tentative="0">
      <w:start w:val="1"/>
      <w:numFmt w:val="decimalEnclosedCircle"/>
      <w:lvlText w:val="%1"/>
      <w:lvlJc w:val="left"/>
      <w:pPr>
        <w:ind w:left="922" w:hanging="360"/>
      </w:pPr>
      <w:rPr>
        <w:rFonts w:hint="default"/>
        <w:b w:val="0"/>
      </w:rPr>
    </w:lvl>
    <w:lvl w:ilvl="1" w:tentative="0">
      <w:start w:val="1"/>
      <w:numFmt w:val="lowerLetter"/>
      <w:lvlText w:val="%2)"/>
      <w:lvlJc w:val="left"/>
      <w:pPr>
        <w:ind w:left="1442" w:hanging="440"/>
      </w:pPr>
    </w:lvl>
    <w:lvl w:ilvl="2" w:tentative="0">
      <w:start w:val="1"/>
      <w:numFmt w:val="lowerRoman"/>
      <w:lvlText w:val="%3."/>
      <w:lvlJc w:val="right"/>
      <w:pPr>
        <w:ind w:left="1882" w:hanging="440"/>
      </w:pPr>
    </w:lvl>
    <w:lvl w:ilvl="3" w:tentative="0">
      <w:start w:val="1"/>
      <w:numFmt w:val="decimal"/>
      <w:lvlText w:val="%4."/>
      <w:lvlJc w:val="left"/>
      <w:pPr>
        <w:ind w:left="2322" w:hanging="440"/>
      </w:pPr>
    </w:lvl>
    <w:lvl w:ilvl="4" w:tentative="0">
      <w:start w:val="1"/>
      <w:numFmt w:val="lowerLetter"/>
      <w:lvlText w:val="%5)"/>
      <w:lvlJc w:val="left"/>
      <w:pPr>
        <w:ind w:left="2762" w:hanging="440"/>
      </w:pPr>
    </w:lvl>
    <w:lvl w:ilvl="5" w:tentative="0">
      <w:start w:val="1"/>
      <w:numFmt w:val="lowerRoman"/>
      <w:lvlText w:val="%6."/>
      <w:lvlJc w:val="right"/>
      <w:pPr>
        <w:ind w:left="3202" w:hanging="440"/>
      </w:pPr>
    </w:lvl>
    <w:lvl w:ilvl="6" w:tentative="0">
      <w:start w:val="1"/>
      <w:numFmt w:val="decimal"/>
      <w:lvlText w:val="%7."/>
      <w:lvlJc w:val="left"/>
      <w:pPr>
        <w:ind w:left="3642" w:hanging="440"/>
      </w:pPr>
    </w:lvl>
    <w:lvl w:ilvl="7" w:tentative="0">
      <w:start w:val="1"/>
      <w:numFmt w:val="lowerLetter"/>
      <w:lvlText w:val="%8)"/>
      <w:lvlJc w:val="left"/>
      <w:pPr>
        <w:ind w:left="4082" w:hanging="440"/>
      </w:pPr>
    </w:lvl>
    <w:lvl w:ilvl="8" w:tentative="0">
      <w:start w:val="1"/>
      <w:numFmt w:val="lowerRoman"/>
      <w:lvlText w:val="%9."/>
      <w:lvlJc w:val="right"/>
      <w:pPr>
        <w:ind w:left="4522" w:hanging="440"/>
      </w:pPr>
    </w:lvl>
  </w:abstractNum>
  <w:abstractNum w:abstractNumId="1">
    <w:nsid w:val="42AE41FA"/>
    <w:multiLevelType w:val="multilevel"/>
    <w:tmpl w:val="42AE41FA"/>
    <w:lvl w:ilvl="0" w:tentative="0">
      <w:start w:val="1"/>
      <w:numFmt w:val="decimalEnclosedCircle"/>
      <w:lvlText w:val="%1"/>
      <w:lvlJc w:val="left"/>
      <w:pPr>
        <w:ind w:left="920" w:hanging="360"/>
      </w:pPr>
      <w:rPr>
        <w:rFonts w:hint="default"/>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k5ZjNhNDEwZDRjYmVkNDI2YWRiZGE0ZTMzMzc0ZjUifQ=="/>
  </w:docVars>
  <w:rsids>
    <w:rsidRoot w:val="008B56C8"/>
    <w:rsid w:val="00000907"/>
    <w:rsid w:val="00004536"/>
    <w:rsid w:val="00005790"/>
    <w:rsid w:val="00020C66"/>
    <w:rsid w:val="0002151C"/>
    <w:rsid w:val="00021DF4"/>
    <w:rsid w:val="00026463"/>
    <w:rsid w:val="00031D88"/>
    <w:rsid w:val="00032DC6"/>
    <w:rsid w:val="00040E3A"/>
    <w:rsid w:val="00041972"/>
    <w:rsid w:val="00041D8F"/>
    <w:rsid w:val="00042FD3"/>
    <w:rsid w:val="00043300"/>
    <w:rsid w:val="00043827"/>
    <w:rsid w:val="000475B2"/>
    <w:rsid w:val="000538D3"/>
    <w:rsid w:val="0005455F"/>
    <w:rsid w:val="00057D00"/>
    <w:rsid w:val="00060093"/>
    <w:rsid w:val="00061B0E"/>
    <w:rsid w:val="0006356B"/>
    <w:rsid w:val="000647A2"/>
    <w:rsid w:val="00064916"/>
    <w:rsid w:val="00064A6C"/>
    <w:rsid w:val="00066583"/>
    <w:rsid w:val="00067733"/>
    <w:rsid w:val="00071E20"/>
    <w:rsid w:val="00074AF1"/>
    <w:rsid w:val="000755C9"/>
    <w:rsid w:val="000836D2"/>
    <w:rsid w:val="00083EE8"/>
    <w:rsid w:val="00084779"/>
    <w:rsid w:val="00086E04"/>
    <w:rsid w:val="000911F4"/>
    <w:rsid w:val="00091967"/>
    <w:rsid w:val="00095017"/>
    <w:rsid w:val="00095321"/>
    <w:rsid w:val="0009553E"/>
    <w:rsid w:val="000964E3"/>
    <w:rsid w:val="00097B80"/>
    <w:rsid w:val="000A2F29"/>
    <w:rsid w:val="000A36F7"/>
    <w:rsid w:val="000A4A4D"/>
    <w:rsid w:val="000A5805"/>
    <w:rsid w:val="000A6DB9"/>
    <w:rsid w:val="000B1140"/>
    <w:rsid w:val="000B2B5F"/>
    <w:rsid w:val="000B421B"/>
    <w:rsid w:val="000B4629"/>
    <w:rsid w:val="000B644A"/>
    <w:rsid w:val="000B77FC"/>
    <w:rsid w:val="000C1CF1"/>
    <w:rsid w:val="000C2772"/>
    <w:rsid w:val="000D2528"/>
    <w:rsid w:val="000E65BA"/>
    <w:rsid w:val="000E6D4C"/>
    <w:rsid w:val="000E6EE3"/>
    <w:rsid w:val="000F06CF"/>
    <w:rsid w:val="000F1595"/>
    <w:rsid w:val="000F5D7D"/>
    <w:rsid w:val="000F6C67"/>
    <w:rsid w:val="000F6FB2"/>
    <w:rsid w:val="0010320A"/>
    <w:rsid w:val="0010345C"/>
    <w:rsid w:val="0010398A"/>
    <w:rsid w:val="001064F5"/>
    <w:rsid w:val="001108DB"/>
    <w:rsid w:val="00111363"/>
    <w:rsid w:val="00115421"/>
    <w:rsid w:val="001162E1"/>
    <w:rsid w:val="00117365"/>
    <w:rsid w:val="001213BD"/>
    <w:rsid w:val="00123FD4"/>
    <w:rsid w:val="00124BEB"/>
    <w:rsid w:val="0012575A"/>
    <w:rsid w:val="00125B0C"/>
    <w:rsid w:val="00126085"/>
    <w:rsid w:val="00126D26"/>
    <w:rsid w:val="00127C5D"/>
    <w:rsid w:val="00130C74"/>
    <w:rsid w:val="001320C4"/>
    <w:rsid w:val="001325DE"/>
    <w:rsid w:val="00133753"/>
    <w:rsid w:val="00135958"/>
    <w:rsid w:val="00135F55"/>
    <w:rsid w:val="00136ECA"/>
    <w:rsid w:val="001427E7"/>
    <w:rsid w:val="00142E24"/>
    <w:rsid w:val="00147A4A"/>
    <w:rsid w:val="00151475"/>
    <w:rsid w:val="001525F5"/>
    <w:rsid w:val="001554F3"/>
    <w:rsid w:val="00161385"/>
    <w:rsid w:val="0016244B"/>
    <w:rsid w:val="00162C62"/>
    <w:rsid w:val="00165369"/>
    <w:rsid w:val="001665CF"/>
    <w:rsid w:val="00171991"/>
    <w:rsid w:val="00175CC4"/>
    <w:rsid w:val="00175ED6"/>
    <w:rsid w:val="001764BE"/>
    <w:rsid w:val="001830F2"/>
    <w:rsid w:val="00187B61"/>
    <w:rsid w:val="00187F29"/>
    <w:rsid w:val="00190296"/>
    <w:rsid w:val="00191507"/>
    <w:rsid w:val="00191EA6"/>
    <w:rsid w:val="00192215"/>
    <w:rsid w:val="00195181"/>
    <w:rsid w:val="00197A30"/>
    <w:rsid w:val="001A099B"/>
    <w:rsid w:val="001A2589"/>
    <w:rsid w:val="001A48E4"/>
    <w:rsid w:val="001B0046"/>
    <w:rsid w:val="001B4143"/>
    <w:rsid w:val="001B4C19"/>
    <w:rsid w:val="001B4C89"/>
    <w:rsid w:val="001C0360"/>
    <w:rsid w:val="001C0479"/>
    <w:rsid w:val="001C079B"/>
    <w:rsid w:val="001C0977"/>
    <w:rsid w:val="001C1B07"/>
    <w:rsid w:val="001C4E15"/>
    <w:rsid w:val="001C69B0"/>
    <w:rsid w:val="001D1629"/>
    <w:rsid w:val="001D3EBC"/>
    <w:rsid w:val="001D57EC"/>
    <w:rsid w:val="001E0081"/>
    <w:rsid w:val="001E2433"/>
    <w:rsid w:val="001E4AD2"/>
    <w:rsid w:val="001E6A88"/>
    <w:rsid w:val="001F0242"/>
    <w:rsid w:val="001F1195"/>
    <w:rsid w:val="001F2CEC"/>
    <w:rsid w:val="001F4DC2"/>
    <w:rsid w:val="001F585E"/>
    <w:rsid w:val="00201E62"/>
    <w:rsid w:val="0020245D"/>
    <w:rsid w:val="002024D8"/>
    <w:rsid w:val="00203BE8"/>
    <w:rsid w:val="00204ADB"/>
    <w:rsid w:val="00206DE3"/>
    <w:rsid w:val="002073EB"/>
    <w:rsid w:val="00210817"/>
    <w:rsid w:val="002123B0"/>
    <w:rsid w:val="002142C5"/>
    <w:rsid w:val="00214493"/>
    <w:rsid w:val="00214781"/>
    <w:rsid w:val="00215357"/>
    <w:rsid w:val="00216749"/>
    <w:rsid w:val="00221562"/>
    <w:rsid w:val="00222E9A"/>
    <w:rsid w:val="002231DE"/>
    <w:rsid w:val="002265F8"/>
    <w:rsid w:val="00226F14"/>
    <w:rsid w:val="00227486"/>
    <w:rsid w:val="00233A9A"/>
    <w:rsid w:val="00244017"/>
    <w:rsid w:val="002464A6"/>
    <w:rsid w:val="00253D4B"/>
    <w:rsid w:val="00254984"/>
    <w:rsid w:val="00255782"/>
    <w:rsid w:val="00261364"/>
    <w:rsid w:val="00262010"/>
    <w:rsid w:val="002631CE"/>
    <w:rsid w:val="002647EA"/>
    <w:rsid w:val="0026536F"/>
    <w:rsid w:val="0027107B"/>
    <w:rsid w:val="002729FD"/>
    <w:rsid w:val="00273055"/>
    <w:rsid w:val="00273480"/>
    <w:rsid w:val="00274031"/>
    <w:rsid w:val="0028047B"/>
    <w:rsid w:val="00280C0F"/>
    <w:rsid w:val="002817B5"/>
    <w:rsid w:val="0028210A"/>
    <w:rsid w:val="00283276"/>
    <w:rsid w:val="00286339"/>
    <w:rsid w:val="0028750F"/>
    <w:rsid w:val="00287796"/>
    <w:rsid w:val="0029078B"/>
    <w:rsid w:val="00290EC5"/>
    <w:rsid w:val="0029321E"/>
    <w:rsid w:val="00297555"/>
    <w:rsid w:val="002A0E15"/>
    <w:rsid w:val="002A195C"/>
    <w:rsid w:val="002A318C"/>
    <w:rsid w:val="002A58CA"/>
    <w:rsid w:val="002A76FA"/>
    <w:rsid w:val="002A7CEC"/>
    <w:rsid w:val="002B466E"/>
    <w:rsid w:val="002B7219"/>
    <w:rsid w:val="002B7796"/>
    <w:rsid w:val="002C5447"/>
    <w:rsid w:val="002C7395"/>
    <w:rsid w:val="002D2161"/>
    <w:rsid w:val="002D2B91"/>
    <w:rsid w:val="002D6094"/>
    <w:rsid w:val="002E115B"/>
    <w:rsid w:val="002E1168"/>
    <w:rsid w:val="002E14B7"/>
    <w:rsid w:val="002E1A7A"/>
    <w:rsid w:val="002E33DA"/>
    <w:rsid w:val="002E6528"/>
    <w:rsid w:val="002E67EF"/>
    <w:rsid w:val="002F0C57"/>
    <w:rsid w:val="002F1403"/>
    <w:rsid w:val="002F1F1E"/>
    <w:rsid w:val="002F4FB3"/>
    <w:rsid w:val="002F70FF"/>
    <w:rsid w:val="003004C0"/>
    <w:rsid w:val="003011DE"/>
    <w:rsid w:val="003023AA"/>
    <w:rsid w:val="00303345"/>
    <w:rsid w:val="00304BCD"/>
    <w:rsid w:val="0030519B"/>
    <w:rsid w:val="0030536C"/>
    <w:rsid w:val="00305707"/>
    <w:rsid w:val="00305F52"/>
    <w:rsid w:val="003061AD"/>
    <w:rsid w:val="00312AE3"/>
    <w:rsid w:val="0031331D"/>
    <w:rsid w:val="00315039"/>
    <w:rsid w:val="00316FDB"/>
    <w:rsid w:val="00320129"/>
    <w:rsid w:val="00321912"/>
    <w:rsid w:val="00321CEE"/>
    <w:rsid w:val="00323540"/>
    <w:rsid w:val="003239B9"/>
    <w:rsid w:val="00323A06"/>
    <w:rsid w:val="003250E3"/>
    <w:rsid w:val="00326C84"/>
    <w:rsid w:val="00330F8D"/>
    <w:rsid w:val="00336E53"/>
    <w:rsid w:val="003449B5"/>
    <w:rsid w:val="003452F8"/>
    <w:rsid w:val="00345412"/>
    <w:rsid w:val="003455FE"/>
    <w:rsid w:val="00347EE8"/>
    <w:rsid w:val="003502B9"/>
    <w:rsid w:val="0035174F"/>
    <w:rsid w:val="00351A20"/>
    <w:rsid w:val="003522B6"/>
    <w:rsid w:val="00353148"/>
    <w:rsid w:val="00360A0B"/>
    <w:rsid w:val="00364491"/>
    <w:rsid w:val="00364572"/>
    <w:rsid w:val="0037258E"/>
    <w:rsid w:val="00374B6A"/>
    <w:rsid w:val="003755E6"/>
    <w:rsid w:val="00375F70"/>
    <w:rsid w:val="00376A58"/>
    <w:rsid w:val="00376EB3"/>
    <w:rsid w:val="00380304"/>
    <w:rsid w:val="00381A0B"/>
    <w:rsid w:val="00382224"/>
    <w:rsid w:val="0038507A"/>
    <w:rsid w:val="00390E25"/>
    <w:rsid w:val="003919FB"/>
    <w:rsid w:val="00391F84"/>
    <w:rsid w:val="0039488E"/>
    <w:rsid w:val="00395CBF"/>
    <w:rsid w:val="003A35A7"/>
    <w:rsid w:val="003A38A2"/>
    <w:rsid w:val="003A450C"/>
    <w:rsid w:val="003A5C7C"/>
    <w:rsid w:val="003B0A0E"/>
    <w:rsid w:val="003B1641"/>
    <w:rsid w:val="003B248E"/>
    <w:rsid w:val="003C0006"/>
    <w:rsid w:val="003C0F07"/>
    <w:rsid w:val="003C2754"/>
    <w:rsid w:val="003C4173"/>
    <w:rsid w:val="003C662B"/>
    <w:rsid w:val="003C7036"/>
    <w:rsid w:val="003D1762"/>
    <w:rsid w:val="003D215E"/>
    <w:rsid w:val="003D472C"/>
    <w:rsid w:val="003E1DA1"/>
    <w:rsid w:val="003E250B"/>
    <w:rsid w:val="003E29C3"/>
    <w:rsid w:val="003E2C1D"/>
    <w:rsid w:val="003E76BD"/>
    <w:rsid w:val="003F0649"/>
    <w:rsid w:val="003F1382"/>
    <w:rsid w:val="003F1712"/>
    <w:rsid w:val="003F34A6"/>
    <w:rsid w:val="003F3FB1"/>
    <w:rsid w:val="003F59EF"/>
    <w:rsid w:val="004004E4"/>
    <w:rsid w:val="004006AD"/>
    <w:rsid w:val="00402257"/>
    <w:rsid w:val="004038A6"/>
    <w:rsid w:val="00404627"/>
    <w:rsid w:val="004105AB"/>
    <w:rsid w:val="0041153F"/>
    <w:rsid w:val="00413A0E"/>
    <w:rsid w:val="00413ABA"/>
    <w:rsid w:val="004143F5"/>
    <w:rsid w:val="00415CC8"/>
    <w:rsid w:val="004161C8"/>
    <w:rsid w:val="004167AE"/>
    <w:rsid w:val="004167D2"/>
    <w:rsid w:val="00416B2E"/>
    <w:rsid w:val="0041730E"/>
    <w:rsid w:val="00420F7A"/>
    <w:rsid w:val="004215A0"/>
    <w:rsid w:val="00421A78"/>
    <w:rsid w:val="00422417"/>
    <w:rsid w:val="00422C6E"/>
    <w:rsid w:val="00426481"/>
    <w:rsid w:val="004279CB"/>
    <w:rsid w:val="00430894"/>
    <w:rsid w:val="00430E43"/>
    <w:rsid w:val="004322B6"/>
    <w:rsid w:val="00432EDF"/>
    <w:rsid w:val="004355EF"/>
    <w:rsid w:val="00435E8F"/>
    <w:rsid w:val="00436C33"/>
    <w:rsid w:val="00440B18"/>
    <w:rsid w:val="0044411D"/>
    <w:rsid w:val="00445293"/>
    <w:rsid w:val="00446DAB"/>
    <w:rsid w:val="00451B08"/>
    <w:rsid w:val="00454488"/>
    <w:rsid w:val="00456564"/>
    <w:rsid w:val="00456E0D"/>
    <w:rsid w:val="00465BEF"/>
    <w:rsid w:val="00466B8C"/>
    <w:rsid w:val="00467A3E"/>
    <w:rsid w:val="004703C0"/>
    <w:rsid w:val="004743B9"/>
    <w:rsid w:val="004763E9"/>
    <w:rsid w:val="0048095E"/>
    <w:rsid w:val="00481348"/>
    <w:rsid w:val="00481E97"/>
    <w:rsid w:val="004840A7"/>
    <w:rsid w:val="00484418"/>
    <w:rsid w:val="00485CB9"/>
    <w:rsid w:val="00486434"/>
    <w:rsid w:val="00490067"/>
    <w:rsid w:val="00491C80"/>
    <w:rsid w:val="00492BF2"/>
    <w:rsid w:val="00492EAB"/>
    <w:rsid w:val="00493F92"/>
    <w:rsid w:val="004957AC"/>
    <w:rsid w:val="00497098"/>
    <w:rsid w:val="004977F2"/>
    <w:rsid w:val="004A0CAE"/>
    <w:rsid w:val="004A1B7E"/>
    <w:rsid w:val="004A2664"/>
    <w:rsid w:val="004A2E66"/>
    <w:rsid w:val="004A320F"/>
    <w:rsid w:val="004A49DB"/>
    <w:rsid w:val="004A5CE7"/>
    <w:rsid w:val="004A6755"/>
    <w:rsid w:val="004A6A15"/>
    <w:rsid w:val="004A7639"/>
    <w:rsid w:val="004B008B"/>
    <w:rsid w:val="004B281D"/>
    <w:rsid w:val="004B39D6"/>
    <w:rsid w:val="004B5C91"/>
    <w:rsid w:val="004B60C6"/>
    <w:rsid w:val="004B78D5"/>
    <w:rsid w:val="004C0034"/>
    <w:rsid w:val="004C1139"/>
    <w:rsid w:val="004C1814"/>
    <w:rsid w:val="004C2379"/>
    <w:rsid w:val="004C483B"/>
    <w:rsid w:val="004C7D75"/>
    <w:rsid w:val="004D09EF"/>
    <w:rsid w:val="004D0E59"/>
    <w:rsid w:val="004D23E4"/>
    <w:rsid w:val="004D2787"/>
    <w:rsid w:val="004D5A0A"/>
    <w:rsid w:val="004E388F"/>
    <w:rsid w:val="004E5E12"/>
    <w:rsid w:val="004E6E5A"/>
    <w:rsid w:val="004E7165"/>
    <w:rsid w:val="004E7BF3"/>
    <w:rsid w:val="004F425D"/>
    <w:rsid w:val="004F6851"/>
    <w:rsid w:val="004F79DA"/>
    <w:rsid w:val="004F7BE1"/>
    <w:rsid w:val="004F7F28"/>
    <w:rsid w:val="0050326F"/>
    <w:rsid w:val="00504376"/>
    <w:rsid w:val="0051143F"/>
    <w:rsid w:val="00512028"/>
    <w:rsid w:val="005121FE"/>
    <w:rsid w:val="0051439E"/>
    <w:rsid w:val="005177AE"/>
    <w:rsid w:val="00521A61"/>
    <w:rsid w:val="005223DE"/>
    <w:rsid w:val="005227D7"/>
    <w:rsid w:val="00522A77"/>
    <w:rsid w:val="00522B9A"/>
    <w:rsid w:val="00522EAD"/>
    <w:rsid w:val="005253DF"/>
    <w:rsid w:val="00533D8F"/>
    <w:rsid w:val="005342F3"/>
    <w:rsid w:val="005366B2"/>
    <w:rsid w:val="00541C67"/>
    <w:rsid w:val="005425AE"/>
    <w:rsid w:val="00546C07"/>
    <w:rsid w:val="00554C92"/>
    <w:rsid w:val="00554D71"/>
    <w:rsid w:val="00560BE0"/>
    <w:rsid w:val="00560C8C"/>
    <w:rsid w:val="005618E4"/>
    <w:rsid w:val="00563516"/>
    <w:rsid w:val="00563575"/>
    <w:rsid w:val="00577EC4"/>
    <w:rsid w:val="00580089"/>
    <w:rsid w:val="00581946"/>
    <w:rsid w:val="00583C26"/>
    <w:rsid w:val="00583CE7"/>
    <w:rsid w:val="005934D0"/>
    <w:rsid w:val="00593DFD"/>
    <w:rsid w:val="00593F6B"/>
    <w:rsid w:val="00596EDF"/>
    <w:rsid w:val="00597B29"/>
    <w:rsid w:val="005A0F38"/>
    <w:rsid w:val="005A1457"/>
    <w:rsid w:val="005A1949"/>
    <w:rsid w:val="005A3B36"/>
    <w:rsid w:val="005B0A86"/>
    <w:rsid w:val="005C054E"/>
    <w:rsid w:val="005C1E12"/>
    <w:rsid w:val="005C3A3F"/>
    <w:rsid w:val="005C3CC0"/>
    <w:rsid w:val="005C5A8A"/>
    <w:rsid w:val="005C701D"/>
    <w:rsid w:val="005C7358"/>
    <w:rsid w:val="005D17BD"/>
    <w:rsid w:val="005D2883"/>
    <w:rsid w:val="005D4155"/>
    <w:rsid w:val="005D6460"/>
    <w:rsid w:val="005E0097"/>
    <w:rsid w:val="005E1326"/>
    <w:rsid w:val="005E1EE3"/>
    <w:rsid w:val="005E319C"/>
    <w:rsid w:val="005E36FE"/>
    <w:rsid w:val="005F5DC4"/>
    <w:rsid w:val="005F6572"/>
    <w:rsid w:val="005F7F73"/>
    <w:rsid w:val="00600F02"/>
    <w:rsid w:val="00604FC4"/>
    <w:rsid w:val="00605086"/>
    <w:rsid w:val="006079F5"/>
    <w:rsid w:val="00610537"/>
    <w:rsid w:val="00610748"/>
    <w:rsid w:val="0061397A"/>
    <w:rsid w:val="00613CF6"/>
    <w:rsid w:val="006156AF"/>
    <w:rsid w:val="0061791D"/>
    <w:rsid w:val="00625DF8"/>
    <w:rsid w:val="00630A46"/>
    <w:rsid w:val="00632ED5"/>
    <w:rsid w:val="00635E23"/>
    <w:rsid w:val="00636C72"/>
    <w:rsid w:val="00642AAF"/>
    <w:rsid w:val="0064416F"/>
    <w:rsid w:val="00644C7E"/>
    <w:rsid w:val="00647186"/>
    <w:rsid w:val="00647774"/>
    <w:rsid w:val="00651B2C"/>
    <w:rsid w:val="006545CA"/>
    <w:rsid w:val="00655A80"/>
    <w:rsid w:val="00655DC5"/>
    <w:rsid w:val="00656096"/>
    <w:rsid w:val="006563E1"/>
    <w:rsid w:val="006572ED"/>
    <w:rsid w:val="00657B00"/>
    <w:rsid w:val="00662785"/>
    <w:rsid w:val="0066423D"/>
    <w:rsid w:val="00665A1A"/>
    <w:rsid w:val="00670213"/>
    <w:rsid w:val="00674062"/>
    <w:rsid w:val="006817BA"/>
    <w:rsid w:val="006855A9"/>
    <w:rsid w:val="00685FC0"/>
    <w:rsid w:val="00687E6F"/>
    <w:rsid w:val="006921FF"/>
    <w:rsid w:val="006922C7"/>
    <w:rsid w:val="006934D6"/>
    <w:rsid w:val="0069621F"/>
    <w:rsid w:val="00696E30"/>
    <w:rsid w:val="006A22C5"/>
    <w:rsid w:val="006A69C6"/>
    <w:rsid w:val="006B5490"/>
    <w:rsid w:val="006B54DC"/>
    <w:rsid w:val="006B5533"/>
    <w:rsid w:val="006B5C4B"/>
    <w:rsid w:val="006B7900"/>
    <w:rsid w:val="006B7E9A"/>
    <w:rsid w:val="006C196C"/>
    <w:rsid w:val="006C2A28"/>
    <w:rsid w:val="006C3B07"/>
    <w:rsid w:val="006C5AC0"/>
    <w:rsid w:val="006D07BE"/>
    <w:rsid w:val="006D103C"/>
    <w:rsid w:val="006D2C6D"/>
    <w:rsid w:val="006D5BEA"/>
    <w:rsid w:val="006E0161"/>
    <w:rsid w:val="006E04DB"/>
    <w:rsid w:val="006E1A60"/>
    <w:rsid w:val="006E4069"/>
    <w:rsid w:val="006E52E6"/>
    <w:rsid w:val="006F0AF3"/>
    <w:rsid w:val="006F70D7"/>
    <w:rsid w:val="006F719B"/>
    <w:rsid w:val="006F7FE4"/>
    <w:rsid w:val="00706884"/>
    <w:rsid w:val="007072B7"/>
    <w:rsid w:val="00707718"/>
    <w:rsid w:val="007104DB"/>
    <w:rsid w:val="00713248"/>
    <w:rsid w:val="00714E0E"/>
    <w:rsid w:val="00715A8F"/>
    <w:rsid w:val="00715AB4"/>
    <w:rsid w:val="00716109"/>
    <w:rsid w:val="007164D1"/>
    <w:rsid w:val="00716C37"/>
    <w:rsid w:val="00717225"/>
    <w:rsid w:val="00717CF7"/>
    <w:rsid w:val="00732A7D"/>
    <w:rsid w:val="0073461D"/>
    <w:rsid w:val="00735024"/>
    <w:rsid w:val="007354A1"/>
    <w:rsid w:val="00737C66"/>
    <w:rsid w:val="007409BB"/>
    <w:rsid w:val="00740B38"/>
    <w:rsid w:val="007413ED"/>
    <w:rsid w:val="007459ED"/>
    <w:rsid w:val="0074609E"/>
    <w:rsid w:val="00747453"/>
    <w:rsid w:val="0074751B"/>
    <w:rsid w:val="00747802"/>
    <w:rsid w:val="00753959"/>
    <w:rsid w:val="0075477B"/>
    <w:rsid w:val="00754A85"/>
    <w:rsid w:val="00755D68"/>
    <w:rsid w:val="007578B6"/>
    <w:rsid w:val="00757CAA"/>
    <w:rsid w:val="007631BB"/>
    <w:rsid w:val="007661C9"/>
    <w:rsid w:val="007675BB"/>
    <w:rsid w:val="00772DBC"/>
    <w:rsid w:val="00776099"/>
    <w:rsid w:val="00777974"/>
    <w:rsid w:val="007813A2"/>
    <w:rsid w:val="00781D2F"/>
    <w:rsid w:val="00782AC0"/>
    <w:rsid w:val="00782EDB"/>
    <w:rsid w:val="00783508"/>
    <w:rsid w:val="00784DFB"/>
    <w:rsid w:val="007855F8"/>
    <w:rsid w:val="00786945"/>
    <w:rsid w:val="007905B1"/>
    <w:rsid w:val="00793F53"/>
    <w:rsid w:val="00794348"/>
    <w:rsid w:val="007948DD"/>
    <w:rsid w:val="0079567E"/>
    <w:rsid w:val="0079577A"/>
    <w:rsid w:val="00795B2C"/>
    <w:rsid w:val="00796727"/>
    <w:rsid w:val="007974F3"/>
    <w:rsid w:val="007A0D55"/>
    <w:rsid w:val="007A0E70"/>
    <w:rsid w:val="007A1156"/>
    <w:rsid w:val="007A1FC1"/>
    <w:rsid w:val="007A52EE"/>
    <w:rsid w:val="007A5590"/>
    <w:rsid w:val="007A620B"/>
    <w:rsid w:val="007B0B23"/>
    <w:rsid w:val="007B675F"/>
    <w:rsid w:val="007C3675"/>
    <w:rsid w:val="007C38FC"/>
    <w:rsid w:val="007C6315"/>
    <w:rsid w:val="007C6B6B"/>
    <w:rsid w:val="007C713B"/>
    <w:rsid w:val="007D0248"/>
    <w:rsid w:val="007D0749"/>
    <w:rsid w:val="007D0915"/>
    <w:rsid w:val="007D7183"/>
    <w:rsid w:val="007E0D66"/>
    <w:rsid w:val="007E0DA5"/>
    <w:rsid w:val="007E3070"/>
    <w:rsid w:val="007E46B2"/>
    <w:rsid w:val="007F01F5"/>
    <w:rsid w:val="007F0732"/>
    <w:rsid w:val="007F0DD9"/>
    <w:rsid w:val="007F18E0"/>
    <w:rsid w:val="007F3735"/>
    <w:rsid w:val="007F6793"/>
    <w:rsid w:val="007F6F48"/>
    <w:rsid w:val="008009B9"/>
    <w:rsid w:val="00801BA3"/>
    <w:rsid w:val="0080574A"/>
    <w:rsid w:val="00807789"/>
    <w:rsid w:val="008109EE"/>
    <w:rsid w:val="00813A34"/>
    <w:rsid w:val="00813A8C"/>
    <w:rsid w:val="00817B27"/>
    <w:rsid w:val="00821474"/>
    <w:rsid w:val="008257DC"/>
    <w:rsid w:val="00825A0C"/>
    <w:rsid w:val="008263EB"/>
    <w:rsid w:val="00832520"/>
    <w:rsid w:val="0083313D"/>
    <w:rsid w:val="00837E1E"/>
    <w:rsid w:val="00842CF9"/>
    <w:rsid w:val="008436EC"/>
    <w:rsid w:val="0084454F"/>
    <w:rsid w:val="0084461C"/>
    <w:rsid w:val="00845D50"/>
    <w:rsid w:val="00846871"/>
    <w:rsid w:val="00847228"/>
    <w:rsid w:val="00850627"/>
    <w:rsid w:val="00852393"/>
    <w:rsid w:val="00852A74"/>
    <w:rsid w:val="00852B44"/>
    <w:rsid w:val="00853283"/>
    <w:rsid w:val="0086033E"/>
    <w:rsid w:val="00860CA3"/>
    <w:rsid w:val="00861CB7"/>
    <w:rsid w:val="00870F5E"/>
    <w:rsid w:val="00872A6D"/>
    <w:rsid w:val="008748C4"/>
    <w:rsid w:val="00874A4B"/>
    <w:rsid w:val="00875114"/>
    <w:rsid w:val="00875B51"/>
    <w:rsid w:val="00876392"/>
    <w:rsid w:val="0088028D"/>
    <w:rsid w:val="00882599"/>
    <w:rsid w:val="008862CC"/>
    <w:rsid w:val="008905F9"/>
    <w:rsid w:val="00892DE0"/>
    <w:rsid w:val="0089612C"/>
    <w:rsid w:val="00897030"/>
    <w:rsid w:val="008A193D"/>
    <w:rsid w:val="008A4EE4"/>
    <w:rsid w:val="008A5041"/>
    <w:rsid w:val="008A5536"/>
    <w:rsid w:val="008A5B4F"/>
    <w:rsid w:val="008A6C98"/>
    <w:rsid w:val="008A6CE2"/>
    <w:rsid w:val="008B0124"/>
    <w:rsid w:val="008B141F"/>
    <w:rsid w:val="008B14BD"/>
    <w:rsid w:val="008B1615"/>
    <w:rsid w:val="008B20CC"/>
    <w:rsid w:val="008B56C8"/>
    <w:rsid w:val="008B5CBC"/>
    <w:rsid w:val="008B76D1"/>
    <w:rsid w:val="008C0FCD"/>
    <w:rsid w:val="008C1974"/>
    <w:rsid w:val="008C336A"/>
    <w:rsid w:val="008C4691"/>
    <w:rsid w:val="008D0F62"/>
    <w:rsid w:val="008D166C"/>
    <w:rsid w:val="008D2C88"/>
    <w:rsid w:val="008D3037"/>
    <w:rsid w:val="008D3E10"/>
    <w:rsid w:val="008D46F9"/>
    <w:rsid w:val="008D6867"/>
    <w:rsid w:val="008D70B7"/>
    <w:rsid w:val="008D762A"/>
    <w:rsid w:val="008E19C4"/>
    <w:rsid w:val="008E1B36"/>
    <w:rsid w:val="008E3DB3"/>
    <w:rsid w:val="008E3E9C"/>
    <w:rsid w:val="008E4158"/>
    <w:rsid w:val="008E5AEC"/>
    <w:rsid w:val="008E7ADD"/>
    <w:rsid w:val="008F15E7"/>
    <w:rsid w:val="008F78A7"/>
    <w:rsid w:val="009014E9"/>
    <w:rsid w:val="009023FB"/>
    <w:rsid w:val="0090310C"/>
    <w:rsid w:val="00903FAD"/>
    <w:rsid w:val="009049ED"/>
    <w:rsid w:val="00906329"/>
    <w:rsid w:val="0090661A"/>
    <w:rsid w:val="009069EE"/>
    <w:rsid w:val="009074BF"/>
    <w:rsid w:val="00913954"/>
    <w:rsid w:val="009148A3"/>
    <w:rsid w:val="009151AB"/>
    <w:rsid w:val="00915E72"/>
    <w:rsid w:val="00917374"/>
    <w:rsid w:val="00917C16"/>
    <w:rsid w:val="00921C99"/>
    <w:rsid w:val="00930042"/>
    <w:rsid w:val="009304EB"/>
    <w:rsid w:val="00931CC1"/>
    <w:rsid w:val="00932AF9"/>
    <w:rsid w:val="009354DA"/>
    <w:rsid w:val="00935D55"/>
    <w:rsid w:val="00944906"/>
    <w:rsid w:val="009503C7"/>
    <w:rsid w:val="009516CD"/>
    <w:rsid w:val="00951D01"/>
    <w:rsid w:val="009550B9"/>
    <w:rsid w:val="009556E4"/>
    <w:rsid w:val="0095654D"/>
    <w:rsid w:val="00957E29"/>
    <w:rsid w:val="00960DDC"/>
    <w:rsid w:val="009624E8"/>
    <w:rsid w:val="00962B84"/>
    <w:rsid w:val="0096327A"/>
    <w:rsid w:val="00964BE7"/>
    <w:rsid w:val="009652E7"/>
    <w:rsid w:val="0096741E"/>
    <w:rsid w:val="0097049B"/>
    <w:rsid w:val="0097224B"/>
    <w:rsid w:val="00974E28"/>
    <w:rsid w:val="00975470"/>
    <w:rsid w:val="0098012E"/>
    <w:rsid w:val="00982DA3"/>
    <w:rsid w:val="00984578"/>
    <w:rsid w:val="0098490E"/>
    <w:rsid w:val="00985492"/>
    <w:rsid w:val="00986CB1"/>
    <w:rsid w:val="00994060"/>
    <w:rsid w:val="00994F8F"/>
    <w:rsid w:val="0099777B"/>
    <w:rsid w:val="009A18AD"/>
    <w:rsid w:val="009A3EB0"/>
    <w:rsid w:val="009A52F9"/>
    <w:rsid w:val="009A660C"/>
    <w:rsid w:val="009B1A95"/>
    <w:rsid w:val="009B4FD2"/>
    <w:rsid w:val="009C023A"/>
    <w:rsid w:val="009C15E7"/>
    <w:rsid w:val="009C676C"/>
    <w:rsid w:val="009D420F"/>
    <w:rsid w:val="009D4403"/>
    <w:rsid w:val="009E07B2"/>
    <w:rsid w:val="009E2FEE"/>
    <w:rsid w:val="009E614B"/>
    <w:rsid w:val="009F16C2"/>
    <w:rsid w:val="009F1F65"/>
    <w:rsid w:val="009F35D9"/>
    <w:rsid w:val="009F4383"/>
    <w:rsid w:val="009F44FC"/>
    <w:rsid w:val="009F5FC0"/>
    <w:rsid w:val="009F5FC8"/>
    <w:rsid w:val="00A001F4"/>
    <w:rsid w:val="00A01CE8"/>
    <w:rsid w:val="00A03C7D"/>
    <w:rsid w:val="00A05875"/>
    <w:rsid w:val="00A06921"/>
    <w:rsid w:val="00A07023"/>
    <w:rsid w:val="00A1123A"/>
    <w:rsid w:val="00A13A1F"/>
    <w:rsid w:val="00A16CF5"/>
    <w:rsid w:val="00A16F04"/>
    <w:rsid w:val="00A173F3"/>
    <w:rsid w:val="00A203D2"/>
    <w:rsid w:val="00A21426"/>
    <w:rsid w:val="00A215E8"/>
    <w:rsid w:val="00A21644"/>
    <w:rsid w:val="00A2190C"/>
    <w:rsid w:val="00A21ABE"/>
    <w:rsid w:val="00A2201B"/>
    <w:rsid w:val="00A22ADF"/>
    <w:rsid w:val="00A22D13"/>
    <w:rsid w:val="00A2429F"/>
    <w:rsid w:val="00A2799F"/>
    <w:rsid w:val="00A300BB"/>
    <w:rsid w:val="00A3213B"/>
    <w:rsid w:val="00A329EC"/>
    <w:rsid w:val="00A33358"/>
    <w:rsid w:val="00A341F5"/>
    <w:rsid w:val="00A34D66"/>
    <w:rsid w:val="00A368C4"/>
    <w:rsid w:val="00A42E77"/>
    <w:rsid w:val="00A432CF"/>
    <w:rsid w:val="00A45CE3"/>
    <w:rsid w:val="00A47118"/>
    <w:rsid w:val="00A4731E"/>
    <w:rsid w:val="00A47DEA"/>
    <w:rsid w:val="00A50CA3"/>
    <w:rsid w:val="00A51099"/>
    <w:rsid w:val="00A52DF7"/>
    <w:rsid w:val="00A5460B"/>
    <w:rsid w:val="00A60F61"/>
    <w:rsid w:val="00A62613"/>
    <w:rsid w:val="00A62A32"/>
    <w:rsid w:val="00A63B7D"/>
    <w:rsid w:val="00A65C3A"/>
    <w:rsid w:val="00A72369"/>
    <w:rsid w:val="00A72FF1"/>
    <w:rsid w:val="00A7327D"/>
    <w:rsid w:val="00A734BD"/>
    <w:rsid w:val="00A759C1"/>
    <w:rsid w:val="00A76D21"/>
    <w:rsid w:val="00A81698"/>
    <w:rsid w:val="00A81B45"/>
    <w:rsid w:val="00A831DD"/>
    <w:rsid w:val="00A83888"/>
    <w:rsid w:val="00A83C15"/>
    <w:rsid w:val="00A83DE5"/>
    <w:rsid w:val="00A83F4F"/>
    <w:rsid w:val="00A865E4"/>
    <w:rsid w:val="00A87AA4"/>
    <w:rsid w:val="00A90957"/>
    <w:rsid w:val="00A90E62"/>
    <w:rsid w:val="00A92549"/>
    <w:rsid w:val="00A93C3A"/>
    <w:rsid w:val="00A93C3B"/>
    <w:rsid w:val="00A93F70"/>
    <w:rsid w:val="00A9492C"/>
    <w:rsid w:val="00A96732"/>
    <w:rsid w:val="00A96950"/>
    <w:rsid w:val="00AA1713"/>
    <w:rsid w:val="00AA2C00"/>
    <w:rsid w:val="00AA6002"/>
    <w:rsid w:val="00AA6F15"/>
    <w:rsid w:val="00AB1950"/>
    <w:rsid w:val="00AB31F6"/>
    <w:rsid w:val="00AB4625"/>
    <w:rsid w:val="00AB495D"/>
    <w:rsid w:val="00AB5C11"/>
    <w:rsid w:val="00AB7A8E"/>
    <w:rsid w:val="00AC349A"/>
    <w:rsid w:val="00AE4A19"/>
    <w:rsid w:val="00AE7338"/>
    <w:rsid w:val="00AE7CC1"/>
    <w:rsid w:val="00AF00F4"/>
    <w:rsid w:val="00AF0289"/>
    <w:rsid w:val="00AF2F8B"/>
    <w:rsid w:val="00AF4D07"/>
    <w:rsid w:val="00AF5229"/>
    <w:rsid w:val="00AF59AB"/>
    <w:rsid w:val="00AF6E5D"/>
    <w:rsid w:val="00B00FEC"/>
    <w:rsid w:val="00B03F28"/>
    <w:rsid w:val="00B06B59"/>
    <w:rsid w:val="00B1046C"/>
    <w:rsid w:val="00B12AAA"/>
    <w:rsid w:val="00B13B8F"/>
    <w:rsid w:val="00B1539B"/>
    <w:rsid w:val="00B15875"/>
    <w:rsid w:val="00B16CCC"/>
    <w:rsid w:val="00B176F9"/>
    <w:rsid w:val="00B237CD"/>
    <w:rsid w:val="00B260F8"/>
    <w:rsid w:val="00B30971"/>
    <w:rsid w:val="00B34B0E"/>
    <w:rsid w:val="00B34F88"/>
    <w:rsid w:val="00B45233"/>
    <w:rsid w:val="00B46011"/>
    <w:rsid w:val="00B472CA"/>
    <w:rsid w:val="00B47529"/>
    <w:rsid w:val="00B50231"/>
    <w:rsid w:val="00B50407"/>
    <w:rsid w:val="00B513A7"/>
    <w:rsid w:val="00B5205D"/>
    <w:rsid w:val="00B52ADC"/>
    <w:rsid w:val="00B544B4"/>
    <w:rsid w:val="00B57FDE"/>
    <w:rsid w:val="00B6264D"/>
    <w:rsid w:val="00B6612B"/>
    <w:rsid w:val="00B70D79"/>
    <w:rsid w:val="00B73D19"/>
    <w:rsid w:val="00B75E51"/>
    <w:rsid w:val="00B76DF2"/>
    <w:rsid w:val="00B83B1C"/>
    <w:rsid w:val="00B87892"/>
    <w:rsid w:val="00B9106F"/>
    <w:rsid w:val="00B9123B"/>
    <w:rsid w:val="00B96AB7"/>
    <w:rsid w:val="00B96DCC"/>
    <w:rsid w:val="00BA0740"/>
    <w:rsid w:val="00BA0CC1"/>
    <w:rsid w:val="00BA232E"/>
    <w:rsid w:val="00BB1229"/>
    <w:rsid w:val="00BC04C8"/>
    <w:rsid w:val="00BC14D6"/>
    <w:rsid w:val="00BC1C62"/>
    <w:rsid w:val="00BC2E92"/>
    <w:rsid w:val="00BC4226"/>
    <w:rsid w:val="00BC5086"/>
    <w:rsid w:val="00BC62A8"/>
    <w:rsid w:val="00BC63D4"/>
    <w:rsid w:val="00BC6A75"/>
    <w:rsid w:val="00BD0F42"/>
    <w:rsid w:val="00BD1170"/>
    <w:rsid w:val="00BD35CC"/>
    <w:rsid w:val="00BD698F"/>
    <w:rsid w:val="00BE16DE"/>
    <w:rsid w:val="00BE2A75"/>
    <w:rsid w:val="00BE3F71"/>
    <w:rsid w:val="00BE514E"/>
    <w:rsid w:val="00BE5A5B"/>
    <w:rsid w:val="00BE7255"/>
    <w:rsid w:val="00BE7415"/>
    <w:rsid w:val="00BF0D33"/>
    <w:rsid w:val="00BF2BE2"/>
    <w:rsid w:val="00BF2E40"/>
    <w:rsid w:val="00BF2F1E"/>
    <w:rsid w:val="00BF3E19"/>
    <w:rsid w:val="00BF3E65"/>
    <w:rsid w:val="00BF42D7"/>
    <w:rsid w:val="00BF51B7"/>
    <w:rsid w:val="00C01580"/>
    <w:rsid w:val="00C01F7D"/>
    <w:rsid w:val="00C037ED"/>
    <w:rsid w:val="00C05D55"/>
    <w:rsid w:val="00C06416"/>
    <w:rsid w:val="00C10F3F"/>
    <w:rsid w:val="00C13661"/>
    <w:rsid w:val="00C14884"/>
    <w:rsid w:val="00C17B86"/>
    <w:rsid w:val="00C21B28"/>
    <w:rsid w:val="00C22F83"/>
    <w:rsid w:val="00C24018"/>
    <w:rsid w:val="00C31971"/>
    <w:rsid w:val="00C32D75"/>
    <w:rsid w:val="00C33A47"/>
    <w:rsid w:val="00C33C3A"/>
    <w:rsid w:val="00C33F2D"/>
    <w:rsid w:val="00C43FE1"/>
    <w:rsid w:val="00C462E4"/>
    <w:rsid w:val="00C47271"/>
    <w:rsid w:val="00C5052D"/>
    <w:rsid w:val="00C517AE"/>
    <w:rsid w:val="00C529E9"/>
    <w:rsid w:val="00C548AA"/>
    <w:rsid w:val="00C62E30"/>
    <w:rsid w:val="00C633F0"/>
    <w:rsid w:val="00C7027C"/>
    <w:rsid w:val="00C70CE3"/>
    <w:rsid w:val="00C72349"/>
    <w:rsid w:val="00C72AA0"/>
    <w:rsid w:val="00C73722"/>
    <w:rsid w:val="00C73994"/>
    <w:rsid w:val="00C75E8B"/>
    <w:rsid w:val="00C76569"/>
    <w:rsid w:val="00C779E5"/>
    <w:rsid w:val="00C811ED"/>
    <w:rsid w:val="00C82179"/>
    <w:rsid w:val="00C84488"/>
    <w:rsid w:val="00C87EA9"/>
    <w:rsid w:val="00C91525"/>
    <w:rsid w:val="00C916EA"/>
    <w:rsid w:val="00C91A44"/>
    <w:rsid w:val="00C94B4E"/>
    <w:rsid w:val="00C9527B"/>
    <w:rsid w:val="00C954A8"/>
    <w:rsid w:val="00C955EE"/>
    <w:rsid w:val="00C97037"/>
    <w:rsid w:val="00CA14C4"/>
    <w:rsid w:val="00CA31E6"/>
    <w:rsid w:val="00CA576F"/>
    <w:rsid w:val="00CB0B1E"/>
    <w:rsid w:val="00CB1729"/>
    <w:rsid w:val="00CB2408"/>
    <w:rsid w:val="00CB66F6"/>
    <w:rsid w:val="00CC0D31"/>
    <w:rsid w:val="00CC57C2"/>
    <w:rsid w:val="00CC740B"/>
    <w:rsid w:val="00CD077A"/>
    <w:rsid w:val="00CD1F34"/>
    <w:rsid w:val="00CD4D6F"/>
    <w:rsid w:val="00CD59C3"/>
    <w:rsid w:val="00CD6555"/>
    <w:rsid w:val="00CD6F71"/>
    <w:rsid w:val="00CE1B64"/>
    <w:rsid w:val="00CE409C"/>
    <w:rsid w:val="00CE4C4A"/>
    <w:rsid w:val="00CE4FF1"/>
    <w:rsid w:val="00CE514E"/>
    <w:rsid w:val="00CE515D"/>
    <w:rsid w:val="00CE5FDB"/>
    <w:rsid w:val="00CF1633"/>
    <w:rsid w:val="00CF2836"/>
    <w:rsid w:val="00CF2EB1"/>
    <w:rsid w:val="00CF3E8E"/>
    <w:rsid w:val="00CF6845"/>
    <w:rsid w:val="00CF78FA"/>
    <w:rsid w:val="00D01995"/>
    <w:rsid w:val="00D04AB3"/>
    <w:rsid w:val="00D0582E"/>
    <w:rsid w:val="00D064A7"/>
    <w:rsid w:val="00D10948"/>
    <w:rsid w:val="00D13387"/>
    <w:rsid w:val="00D13F7E"/>
    <w:rsid w:val="00D14861"/>
    <w:rsid w:val="00D14955"/>
    <w:rsid w:val="00D1531E"/>
    <w:rsid w:val="00D177FD"/>
    <w:rsid w:val="00D24A44"/>
    <w:rsid w:val="00D263B3"/>
    <w:rsid w:val="00D26E81"/>
    <w:rsid w:val="00D32BB8"/>
    <w:rsid w:val="00D37C7D"/>
    <w:rsid w:val="00D44A98"/>
    <w:rsid w:val="00D44FAA"/>
    <w:rsid w:val="00D45160"/>
    <w:rsid w:val="00D453EC"/>
    <w:rsid w:val="00D45E56"/>
    <w:rsid w:val="00D47DA4"/>
    <w:rsid w:val="00D52282"/>
    <w:rsid w:val="00D552D2"/>
    <w:rsid w:val="00D5587C"/>
    <w:rsid w:val="00D55DAD"/>
    <w:rsid w:val="00D55F38"/>
    <w:rsid w:val="00D600A8"/>
    <w:rsid w:val="00D60741"/>
    <w:rsid w:val="00D61ACD"/>
    <w:rsid w:val="00D6773A"/>
    <w:rsid w:val="00D76247"/>
    <w:rsid w:val="00D76DC4"/>
    <w:rsid w:val="00D808A9"/>
    <w:rsid w:val="00D83B9D"/>
    <w:rsid w:val="00D83E67"/>
    <w:rsid w:val="00D929D4"/>
    <w:rsid w:val="00D93C3E"/>
    <w:rsid w:val="00D94217"/>
    <w:rsid w:val="00D95C82"/>
    <w:rsid w:val="00D9633B"/>
    <w:rsid w:val="00D96E8E"/>
    <w:rsid w:val="00D97C2F"/>
    <w:rsid w:val="00DA1DB1"/>
    <w:rsid w:val="00DA4F7A"/>
    <w:rsid w:val="00DA7358"/>
    <w:rsid w:val="00DB029A"/>
    <w:rsid w:val="00DB140D"/>
    <w:rsid w:val="00DB3F39"/>
    <w:rsid w:val="00DB5611"/>
    <w:rsid w:val="00DB7326"/>
    <w:rsid w:val="00DC01D7"/>
    <w:rsid w:val="00DC1D8F"/>
    <w:rsid w:val="00DC1FB9"/>
    <w:rsid w:val="00DC24C6"/>
    <w:rsid w:val="00DC342B"/>
    <w:rsid w:val="00DC50BB"/>
    <w:rsid w:val="00DC5EAE"/>
    <w:rsid w:val="00DC6CDB"/>
    <w:rsid w:val="00DC78BF"/>
    <w:rsid w:val="00DD0D72"/>
    <w:rsid w:val="00DD3715"/>
    <w:rsid w:val="00DD416B"/>
    <w:rsid w:val="00DD441E"/>
    <w:rsid w:val="00DE5064"/>
    <w:rsid w:val="00DF351B"/>
    <w:rsid w:val="00E023F7"/>
    <w:rsid w:val="00E04D0A"/>
    <w:rsid w:val="00E060FC"/>
    <w:rsid w:val="00E064F2"/>
    <w:rsid w:val="00E107F5"/>
    <w:rsid w:val="00E153B0"/>
    <w:rsid w:val="00E15EE6"/>
    <w:rsid w:val="00E162E2"/>
    <w:rsid w:val="00E173EC"/>
    <w:rsid w:val="00E1792B"/>
    <w:rsid w:val="00E203E7"/>
    <w:rsid w:val="00E21C5C"/>
    <w:rsid w:val="00E2210A"/>
    <w:rsid w:val="00E224DA"/>
    <w:rsid w:val="00E24955"/>
    <w:rsid w:val="00E254EB"/>
    <w:rsid w:val="00E25516"/>
    <w:rsid w:val="00E275CB"/>
    <w:rsid w:val="00E344AC"/>
    <w:rsid w:val="00E34F7C"/>
    <w:rsid w:val="00E4033D"/>
    <w:rsid w:val="00E51501"/>
    <w:rsid w:val="00E6139E"/>
    <w:rsid w:val="00E636DD"/>
    <w:rsid w:val="00E63CDC"/>
    <w:rsid w:val="00E63DB6"/>
    <w:rsid w:val="00E67A77"/>
    <w:rsid w:val="00E67ABB"/>
    <w:rsid w:val="00E72CAF"/>
    <w:rsid w:val="00E7552D"/>
    <w:rsid w:val="00E757BB"/>
    <w:rsid w:val="00E77D14"/>
    <w:rsid w:val="00E8123D"/>
    <w:rsid w:val="00E82F94"/>
    <w:rsid w:val="00E84758"/>
    <w:rsid w:val="00E8493D"/>
    <w:rsid w:val="00E86421"/>
    <w:rsid w:val="00E86460"/>
    <w:rsid w:val="00E86E81"/>
    <w:rsid w:val="00E90B19"/>
    <w:rsid w:val="00E95AB5"/>
    <w:rsid w:val="00E95D0A"/>
    <w:rsid w:val="00E965A7"/>
    <w:rsid w:val="00E96834"/>
    <w:rsid w:val="00EA1014"/>
    <w:rsid w:val="00EA47FC"/>
    <w:rsid w:val="00EA49C0"/>
    <w:rsid w:val="00EA58EB"/>
    <w:rsid w:val="00EB30F9"/>
    <w:rsid w:val="00EB35A6"/>
    <w:rsid w:val="00EB49E6"/>
    <w:rsid w:val="00EB4BE9"/>
    <w:rsid w:val="00EB52DC"/>
    <w:rsid w:val="00EB5DA6"/>
    <w:rsid w:val="00EB725B"/>
    <w:rsid w:val="00EC00C1"/>
    <w:rsid w:val="00EC424C"/>
    <w:rsid w:val="00EC67DC"/>
    <w:rsid w:val="00EC74C2"/>
    <w:rsid w:val="00ED2858"/>
    <w:rsid w:val="00ED35CA"/>
    <w:rsid w:val="00ED3EC4"/>
    <w:rsid w:val="00ED4E69"/>
    <w:rsid w:val="00ED4F23"/>
    <w:rsid w:val="00ED5680"/>
    <w:rsid w:val="00ED75AE"/>
    <w:rsid w:val="00EE05ED"/>
    <w:rsid w:val="00EE15F1"/>
    <w:rsid w:val="00EE249D"/>
    <w:rsid w:val="00EE3141"/>
    <w:rsid w:val="00EE3380"/>
    <w:rsid w:val="00EE38CC"/>
    <w:rsid w:val="00EE3B58"/>
    <w:rsid w:val="00EE5DE1"/>
    <w:rsid w:val="00EF0029"/>
    <w:rsid w:val="00EF03CD"/>
    <w:rsid w:val="00EF15F4"/>
    <w:rsid w:val="00EF16D1"/>
    <w:rsid w:val="00EF4122"/>
    <w:rsid w:val="00EF41A3"/>
    <w:rsid w:val="00EF5420"/>
    <w:rsid w:val="00EF59BE"/>
    <w:rsid w:val="00EF74FD"/>
    <w:rsid w:val="00EF7F69"/>
    <w:rsid w:val="00F034FA"/>
    <w:rsid w:val="00F0617A"/>
    <w:rsid w:val="00F06A82"/>
    <w:rsid w:val="00F07C03"/>
    <w:rsid w:val="00F1152D"/>
    <w:rsid w:val="00F13844"/>
    <w:rsid w:val="00F1602E"/>
    <w:rsid w:val="00F16D32"/>
    <w:rsid w:val="00F16E4D"/>
    <w:rsid w:val="00F21E97"/>
    <w:rsid w:val="00F30398"/>
    <w:rsid w:val="00F31935"/>
    <w:rsid w:val="00F33A77"/>
    <w:rsid w:val="00F418AC"/>
    <w:rsid w:val="00F42BC7"/>
    <w:rsid w:val="00F43A48"/>
    <w:rsid w:val="00F4401B"/>
    <w:rsid w:val="00F451C2"/>
    <w:rsid w:val="00F47C30"/>
    <w:rsid w:val="00F5416E"/>
    <w:rsid w:val="00F57995"/>
    <w:rsid w:val="00F60A2D"/>
    <w:rsid w:val="00F6691D"/>
    <w:rsid w:val="00F67591"/>
    <w:rsid w:val="00F730CD"/>
    <w:rsid w:val="00F73E95"/>
    <w:rsid w:val="00F7403B"/>
    <w:rsid w:val="00F745E8"/>
    <w:rsid w:val="00F75E66"/>
    <w:rsid w:val="00F7648A"/>
    <w:rsid w:val="00F77008"/>
    <w:rsid w:val="00F8076C"/>
    <w:rsid w:val="00F82DEF"/>
    <w:rsid w:val="00F832C5"/>
    <w:rsid w:val="00F85235"/>
    <w:rsid w:val="00F86A63"/>
    <w:rsid w:val="00F87610"/>
    <w:rsid w:val="00F91C8D"/>
    <w:rsid w:val="00F92E9C"/>
    <w:rsid w:val="00F93552"/>
    <w:rsid w:val="00F93613"/>
    <w:rsid w:val="00F93E0B"/>
    <w:rsid w:val="00FA4AD6"/>
    <w:rsid w:val="00FA5F7C"/>
    <w:rsid w:val="00FA7CC4"/>
    <w:rsid w:val="00FB1E91"/>
    <w:rsid w:val="00FB1F5C"/>
    <w:rsid w:val="00FB26EF"/>
    <w:rsid w:val="00FC0FB0"/>
    <w:rsid w:val="00FC3620"/>
    <w:rsid w:val="00FC53CB"/>
    <w:rsid w:val="00FC6457"/>
    <w:rsid w:val="00FC76DD"/>
    <w:rsid w:val="00FC77FB"/>
    <w:rsid w:val="00FD08D8"/>
    <w:rsid w:val="00FD41F9"/>
    <w:rsid w:val="00FD62D5"/>
    <w:rsid w:val="00FD67F7"/>
    <w:rsid w:val="00FE092A"/>
    <w:rsid w:val="00FF4101"/>
    <w:rsid w:val="00FF538E"/>
    <w:rsid w:val="00FF604C"/>
    <w:rsid w:val="00FF7B91"/>
    <w:rsid w:val="011E3D92"/>
    <w:rsid w:val="0A037FC9"/>
    <w:rsid w:val="0CB13BA8"/>
    <w:rsid w:val="0D214396"/>
    <w:rsid w:val="0D71793F"/>
    <w:rsid w:val="1A06703E"/>
    <w:rsid w:val="1A881125"/>
    <w:rsid w:val="24442EBE"/>
    <w:rsid w:val="26547499"/>
    <w:rsid w:val="33260700"/>
    <w:rsid w:val="34B904A2"/>
    <w:rsid w:val="46C32C67"/>
    <w:rsid w:val="47102059"/>
    <w:rsid w:val="4E1F1D7C"/>
    <w:rsid w:val="5A3B74F2"/>
    <w:rsid w:val="76DD32F1"/>
    <w:rsid w:val="79295D8C"/>
    <w:rsid w:val="794959F4"/>
    <w:rsid w:val="7A3525A4"/>
    <w:rsid w:val="7AB94F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line="360" w:lineRule="auto"/>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30"/>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3"/>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4"/>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35"/>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39"/>
    <w:pPr>
      <w:snapToGrid/>
      <w:spacing w:line="240" w:lineRule="auto"/>
      <w:ind w:left="2520" w:leftChars="1200"/>
    </w:pPr>
    <w:rPr>
      <w:rFonts w:asciiTheme="minorHAnsi" w:hAnsiTheme="minorHAnsi" w:eastAsiaTheme="minorEastAsia"/>
      <w:sz w:val="21"/>
      <w14:ligatures w14:val="standardContextual"/>
    </w:rPr>
  </w:style>
  <w:style w:type="paragraph" w:styleId="7">
    <w:name w:val="toc 5"/>
    <w:basedOn w:val="1"/>
    <w:next w:val="1"/>
    <w:autoRedefine/>
    <w:unhideWhenUsed/>
    <w:qFormat/>
    <w:uiPriority w:val="39"/>
    <w:pPr>
      <w:snapToGrid/>
      <w:spacing w:line="240" w:lineRule="auto"/>
      <w:ind w:left="1680" w:leftChars="800"/>
    </w:pPr>
    <w:rPr>
      <w:rFonts w:asciiTheme="minorHAnsi" w:hAnsiTheme="minorHAnsi" w:eastAsiaTheme="minorEastAsia"/>
      <w:sz w:val="21"/>
      <w14:ligatures w14:val="standardContextual"/>
    </w:rPr>
  </w:style>
  <w:style w:type="paragraph" w:styleId="8">
    <w:name w:val="toc 3"/>
    <w:basedOn w:val="1"/>
    <w:next w:val="1"/>
    <w:autoRedefine/>
    <w:unhideWhenUsed/>
    <w:qFormat/>
    <w:uiPriority w:val="39"/>
    <w:pPr>
      <w:ind w:left="840" w:leftChars="400"/>
    </w:pPr>
  </w:style>
  <w:style w:type="paragraph" w:styleId="9">
    <w:name w:val="toc 8"/>
    <w:basedOn w:val="1"/>
    <w:next w:val="1"/>
    <w:autoRedefine/>
    <w:unhideWhenUsed/>
    <w:qFormat/>
    <w:uiPriority w:val="39"/>
    <w:pPr>
      <w:snapToGrid/>
      <w:spacing w:line="240" w:lineRule="auto"/>
      <w:ind w:left="2940" w:leftChars="1400"/>
    </w:pPr>
    <w:rPr>
      <w:rFonts w:asciiTheme="minorHAnsi" w:hAnsiTheme="minorHAnsi" w:eastAsiaTheme="minorEastAsia"/>
      <w:sz w:val="21"/>
      <w14:ligatures w14:val="standardContextual"/>
    </w:rPr>
  </w:style>
  <w:style w:type="paragraph" w:styleId="10">
    <w:name w:val="Balloon Text"/>
    <w:basedOn w:val="1"/>
    <w:link w:val="23"/>
    <w:semiHidden/>
    <w:unhideWhenUsed/>
    <w:qFormat/>
    <w:uiPriority w:val="99"/>
    <w:rPr>
      <w:sz w:val="18"/>
      <w:szCs w:val="18"/>
    </w:rPr>
  </w:style>
  <w:style w:type="paragraph" w:styleId="11">
    <w:name w:val="footer"/>
    <w:basedOn w:val="1"/>
    <w:link w:val="24"/>
    <w:unhideWhenUsed/>
    <w:qFormat/>
    <w:uiPriority w:val="99"/>
    <w:pPr>
      <w:tabs>
        <w:tab w:val="center" w:pos="4153"/>
        <w:tab w:val="right" w:pos="8306"/>
      </w:tabs>
      <w:jc w:val="left"/>
    </w:pPr>
    <w:rPr>
      <w:sz w:val="18"/>
      <w:szCs w:val="18"/>
    </w:rPr>
  </w:style>
  <w:style w:type="paragraph" w:styleId="12">
    <w:name w:val="header"/>
    <w:basedOn w:val="1"/>
    <w:link w:val="25"/>
    <w:unhideWhenUsed/>
    <w:qFormat/>
    <w:uiPriority w:val="99"/>
    <w:pPr>
      <w:pBdr>
        <w:bottom w:val="single" w:color="auto" w:sz="6" w:space="1"/>
      </w:pBdr>
      <w:tabs>
        <w:tab w:val="center" w:pos="4153"/>
        <w:tab w:val="right" w:pos="8306"/>
      </w:tabs>
      <w:jc w:val="center"/>
    </w:pPr>
    <w:rPr>
      <w:sz w:val="18"/>
      <w:szCs w:val="18"/>
    </w:rPr>
  </w:style>
  <w:style w:type="paragraph" w:styleId="13">
    <w:name w:val="toc 1"/>
    <w:basedOn w:val="1"/>
    <w:next w:val="1"/>
    <w:autoRedefine/>
    <w:unhideWhenUsed/>
    <w:qFormat/>
    <w:uiPriority w:val="39"/>
  </w:style>
  <w:style w:type="paragraph" w:styleId="14">
    <w:name w:val="toc 4"/>
    <w:basedOn w:val="1"/>
    <w:next w:val="1"/>
    <w:autoRedefine/>
    <w:unhideWhenUsed/>
    <w:qFormat/>
    <w:uiPriority w:val="39"/>
    <w:pPr>
      <w:snapToGrid/>
      <w:spacing w:line="240" w:lineRule="auto"/>
      <w:ind w:left="1260" w:leftChars="600"/>
    </w:pPr>
    <w:rPr>
      <w:rFonts w:asciiTheme="minorHAnsi" w:hAnsiTheme="minorHAnsi" w:eastAsiaTheme="minorEastAsia"/>
      <w:sz w:val="21"/>
      <w14:ligatures w14:val="standardContextual"/>
    </w:rPr>
  </w:style>
  <w:style w:type="paragraph" w:styleId="15">
    <w:name w:val="toc 6"/>
    <w:basedOn w:val="1"/>
    <w:next w:val="1"/>
    <w:autoRedefine/>
    <w:unhideWhenUsed/>
    <w:qFormat/>
    <w:uiPriority w:val="39"/>
    <w:pPr>
      <w:snapToGrid/>
      <w:spacing w:line="240" w:lineRule="auto"/>
      <w:ind w:left="2100" w:leftChars="1000"/>
    </w:pPr>
    <w:rPr>
      <w:rFonts w:asciiTheme="minorHAnsi" w:hAnsiTheme="minorHAnsi" w:eastAsiaTheme="minorEastAsia"/>
      <w:sz w:val="21"/>
      <w14:ligatures w14:val="standardContextual"/>
    </w:rPr>
  </w:style>
  <w:style w:type="paragraph" w:styleId="16">
    <w:name w:val="toc 2"/>
    <w:basedOn w:val="1"/>
    <w:next w:val="1"/>
    <w:autoRedefine/>
    <w:unhideWhenUsed/>
    <w:qFormat/>
    <w:uiPriority w:val="39"/>
    <w:pPr>
      <w:ind w:left="420" w:leftChars="200"/>
    </w:pPr>
  </w:style>
  <w:style w:type="paragraph" w:styleId="17">
    <w:name w:val="toc 9"/>
    <w:basedOn w:val="1"/>
    <w:next w:val="1"/>
    <w:autoRedefine/>
    <w:unhideWhenUsed/>
    <w:qFormat/>
    <w:uiPriority w:val="39"/>
    <w:pPr>
      <w:snapToGrid/>
      <w:spacing w:line="240" w:lineRule="auto"/>
      <w:ind w:left="3360" w:leftChars="1600"/>
    </w:pPr>
    <w:rPr>
      <w:rFonts w:asciiTheme="minorHAnsi" w:hAnsiTheme="minorHAnsi" w:eastAsiaTheme="minorEastAsia"/>
      <w:sz w:val="21"/>
      <w14:ligatures w14:val="standardContextual"/>
    </w:rPr>
  </w:style>
  <w:style w:type="paragraph" w:styleId="18">
    <w:name w:val="Normal (Web)"/>
    <w:basedOn w:val="1"/>
    <w:semiHidden/>
    <w:unhideWhenUsed/>
    <w:qFormat/>
    <w:uiPriority w:val="99"/>
    <w:rPr>
      <w:rFonts w:cs="Times New Roman"/>
      <w:szCs w:val="24"/>
    </w:rPr>
  </w:style>
  <w:style w:type="table" w:styleId="20">
    <w:name w:val="Table Grid"/>
    <w:basedOn w:val="1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Hyperlink"/>
    <w:basedOn w:val="21"/>
    <w:unhideWhenUsed/>
    <w:qFormat/>
    <w:uiPriority w:val="99"/>
    <w:rPr>
      <w:color w:val="0563C1" w:themeColor="hyperlink"/>
      <w:u w:val="single"/>
      <w14:textFill>
        <w14:solidFill>
          <w14:schemeClr w14:val="hlink"/>
        </w14:solidFill>
      </w14:textFill>
    </w:rPr>
  </w:style>
  <w:style w:type="character" w:customStyle="1" w:styleId="23">
    <w:name w:val="批注框文本 字符"/>
    <w:basedOn w:val="21"/>
    <w:link w:val="10"/>
    <w:semiHidden/>
    <w:qFormat/>
    <w:uiPriority w:val="99"/>
    <w:rPr>
      <w:sz w:val="18"/>
      <w:szCs w:val="18"/>
    </w:rPr>
  </w:style>
  <w:style w:type="character" w:customStyle="1" w:styleId="24">
    <w:name w:val="页脚 字符"/>
    <w:basedOn w:val="21"/>
    <w:link w:val="11"/>
    <w:qFormat/>
    <w:uiPriority w:val="99"/>
    <w:rPr>
      <w:sz w:val="18"/>
      <w:szCs w:val="18"/>
    </w:rPr>
  </w:style>
  <w:style w:type="character" w:customStyle="1" w:styleId="25">
    <w:name w:val="页眉 字符"/>
    <w:basedOn w:val="21"/>
    <w:link w:val="12"/>
    <w:qFormat/>
    <w:uiPriority w:val="99"/>
    <w:rPr>
      <w:sz w:val="18"/>
      <w:szCs w:val="18"/>
    </w:rPr>
  </w:style>
  <w:style w:type="paragraph" w:customStyle="1" w:styleId="26">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27">
    <w:name w:val="图题"/>
    <w:qFormat/>
    <w:uiPriority w:val="0"/>
    <w:pPr>
      <w:adjustRightInd w:val="0"/>
      <w:snapToGrid w:val="0"/>
      <w:spacing w:after="50" w:afterLines="50"/>
      <w:jc w:val="center"/>
    </w:pPr>
    <w:rPr>
      <w:rFonts w:ascii="Times New Roman" w:hAnsi="Times New Roman" w:eastAsia="黑体" w:cstheme="minorBidi"/>
      <w:sz w:val="28"/>
      <w:szCs w:val="21"/>
      <w:lang w:val="en-US" w:eastAsia="zh-CN" w:bidi="ar-SA"/>
    </w:rPr>
  </w:style>
  <w:style w:type="paragraph" w:customStyle="1" w:styleId="28">
    <w:name w:val="正文文本1"/>
    <w:qFormat/>
    <w:uiPriority w:val="0"/>
    <w:pPr>
      <w:adjustRightInd w:val="0"/>
      <w:snapToGrid w:val="0"/>
      <w:spacing w:line="360" w:lineRule="auto"/>
      <w:ind w:firstLine="200" w:firstLineChars="200"/>
      <w:jc w:val="both"/>
    </w:pPr>
    <w:rPr>
      <w:rFonts w:ascii="Times New Roman" w:hAnsi="Times New Roman" w:eastAsia="仿宋_GB2312" w:cs="Times New Roman"/>
      <w:kern w:val="2"/>
      <w:sz w:val="32"/>
      <w:lang w:val="en-US" w:eastAsia="zh-CN" w:bidi="ar-SA"/>
    </w:rPr>
  </w:style>
  <w:style w:type="paragraph" w:styleId="29">
    <w:name w:val="List Paragraph"/>
    <w:basedOn w:val="1"/>
    <w:unhideWhenUsed/>
    <w:qFormat/>
    <w:uiPriority w:val="99"/>
    <w:pPr>
      <w:ind w:firstLine="420" w:firstLineChars="200"/>
    </w:pPr>
  </w:style>
  <w:style w:type="character" w:customStyle="1" w:styleId="30">
    <w:name w:val="标题 1 字符"/>
    <w:basedOn w:val="21"/>
    <w:link w:val="2"/>
    <w:qFormat/>
    <w:uiPriority w:val="9"/>
    <w:rPr>
      <w:rFonts w:cstheme="minorBidi"/>
      <w:b/>
      <w:bCs/>
      <w:kern w:val="44"/>
      <w:sz w:val="44"/>
      <w:szCs w:val="44"/>
    </w:rPr>
  </w:style>
  <w:style w:type="paragraph" w:customStyle="1" w:styleId="31">
    <w:name w:val="TOC Heading"/>
    <w:basedOn w:val="2"/>
    <w:next w:val="1"/>
    <w:unhideWhenUsed/>
    <w:qFormat/>
    <w:uiPriority w:val="39"/>
    <w:pPr>
      <w:widowControl/>
      <w:snapToGrid/>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32">
    <w:name w:val="Unresolved Mention"/>
    <w:basedOn w:val="21"/>
    <w:semiHidden/>
    <w:unhideWhenUsed/>
    <w:qFormat/>
    <w:uiPriority w:val="99"/>
    <w:rPr>
      <w:color w:val="605E5C"/>
      <w:shd w:val="clear" w:color="auto" w:fill="E1DFDD"/>
    </w:rPr>
  </w:style>
  <w:style w:type="character" w:customStyle="1" w:styleId="33">
    <w:name w:val="标题 2 字符"/>
    <w:basedOn w:val="21"/>
    <w:link w:val="3"/>
    <w:qFormat/>
    <w:uiPriority w:val="9"/>
    <w:rPr>
      <w:rFonts w:asciiTheme="majorHAnsi" w:hAnsiTheme="majorHAnsi" w:eastAsiaTheme="majorEastAsia" w:cstheme="majorBidi"/>
      <w:b/>
      <w:bCs/>
      <w:kern w:val="2"/>
      <w:sz w:val="32"/>
      <w:szCs w:val="32"/>
    </w:rPr>
  </w:style>
  <w:style w:type="character" w:customStyle="1" w:styleId="34">
    <w:name w:val="标题 3 字符"/>
    <w:basedOn w:val="21"/>
    <w:link w:val="4"/>
    <w:qFormat/>
    <w:uiPriority w:val="9"/>
    <w:rPr>
      <w:rFonts w:cstheme="minorBidi"/>
      <w:b/>
      <w:bCs/>
      <w:kern w:val="2"/>
      <w:sz w:val="32"/>
      <w:szCs w:val="32"/>
    </w:rPr>
  </w:style>
  <w:style w:type="character" w:customStyle="1" w:styleId="35">
    <w:name w:val="标题 4 字符"/>
    <w:basedOn w:val="21"/>
    <w:link w:val="5"/>
    <w:qFormat/>
    <w:uiPriority w:val="9"/>
    <w:rPr>
      <w:rFonts w:asciiTheme="majorHAnsi" w:hAnsiTheme="majorHAnsi" w:eastAsiaTheme="majorEastAsia" w:cstheme="majorBidi"/>
      <w:b/>
      <w:bCs/>
      <w:kern w:val="2"/>
      <w:sz w:val="28"/>
      <w:szCs w:val="28"/>
    </w:rPr>
  </w:style>
  <w:style w:type="paragraph" w:customStyle="1" w:styleId="36">
    <w:name w:val="样式 纯文本文章正文 + 左  0 字符"/>
    <w:basedOn w:val="1"/>
    <w:semiHidden/>
    <w:qFormat/>
    <w:uiPriority w:val="99"/>
    <w:pPr>
      <w:snapToGrid/>
      <w:spacing w:line="240" w:lineRule="auto"/>
      <w:ind w:firstLine="560"/>
      <w:jc w:val="left"/>
    </w:pPr>
    <w:rPr>
      <w:rFonts w:ascii="宋体" w:hAnsi="Courier New" w:cs="宋体"/>
      <w:sz w:val="28"/>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header" Target="header3.xml"/><Relationship Id="rId74" Type="http://schemas.openxmlformats.org/officeDocument/2006/relationships/fontTable" Target="fontTable.xml"/><Relationship Id="rId73" Type="http://schemas.openxmlformats.org/officeDocument/2006/relationships/customXml" Target="../customXml/item1.xml"/><Relationship Id="rId72" Type="http://schemas.openxmlformats.org/officeDocument/2006/relationships/numbering" Target="numbering.xml"/><Relationship Id="rId71" Type="http://schemas.openxmlformats.org/officeDocument/2006/relationships/image" Target="media/image37.png"/><Relationship Id="rId70" Type="http://schemas.openxmlformats.org/officeDocument/2006/relationships/image" Target="media/image36.png"/><Relationship Id="rId7" Type="http://schemas.openxmlformats.org/officeDocument/2006/relationships/header" Target="header2.xml"/><Relationship Id="rId69" Type="http://schemas.openxmlformats.org/officeDocument/2006/relationships/image" Target="media/image35.png"/><Relationship Id="rId68" Type="http://schemas.openxmlformats.org/officeDocument/2006/relationships/image" Target="media/image34.png"/><Relationship Id="rId67" Type="http://schemas.openxmlformats.org/officeDocument/2006/relationships/image" Target="media/image33.png"/><Relationship Id="rId66" Type="http://schemas.openxmlformats.org/officeDocument/2006/relationships/image" Target="media/image32.png"/><Relationship Id="rId65" Type="http://schemas.openxmlformats.org/officeDocument/2006/relationships/image" Target="media/image31.png"/><Relationship Id="rId64" Type="http://schemas.openxmlformats.org/officeDocument/2006/relationships/image" Target="media/image30.png"/><Relationship Id="rId63" Type="http://schemas.openxmlformats.org/officeDocument/2006/relationships/image" Target="media/image29.png"/><Relationship Id="rId62" Type="http://schemas.openxmlformats.org/officeDocument/2006/relationships/image" Target="media/image28.png"/><Relationship Id="rId61" Type="http://schemas.openxmlformats.org/officeDocument/2006/relationships/image" Target="media/image27.png"/><Relationship Id="rId60" Type="http://schemas.openxmlformats.org/officeDocument/2006/relationships/image" Target="media/image26.png"/><Relationship Id="rId6" Type="http://schemas.openxmlformats.org/officeDocument/2006/relationships/footer" Target="footer1.xml"/><Relationship Id="rId59" Type="http://schemas.openxmlformats.org/officeDocument/2006/relationships/image" Target="media/image25.png"/><Relationship Id="rId58" Type="http://schemas.openxmlformats.org/officeDocument/2006/relationships/image" Target="media/image24.png"/><Relationship Id="rId57" Type="http://schemas.openxmlformats.org/officeDocument/2006/relationships/image" Target="media/image23.wmf"/><Relationship Id="rId56" Type="http://schemas.openxmlformats.org/officeDocument/2006/relationships/oleObject" Target="embeddings/oleObject10.bin"/><Relationship Id="rId55" Type="http://schemas.openxmlformats.org/officeDocument/2006/relationships/image" Target="media/image22.wmf"/><Relationship Id="rId54" Type="http://schemas.openxmlformats.org/officeDocument/2006/relationships/oleObject" Target="embeddings/oleObject9.bin"/><Relationship Id="rId53" Type="http://schemas.openxmlformats.org/officeDocument/2006/relationships/image" Target="media/image21.wmf"/><Relationship Id="rId52" Type="http://schemas.openxmlformats.org/officeDocument/2006/relationships/oleObject" Target="embeddings/oleObject8.bin"/><Relationship Id="rId51" Type="http://schemas.openxmlformats.org/officeDocument/2006/relationships/image" Target="media/image20.wmf"/><Relationship Id="rId50" Type="http://schemas.openxmlformats.org/officeDocument/2006/relationships/oleObject" Target="embeddings/oleObject7.bin"/><Relationship Id="rId5" Type="http://schemas.openxmlformats.org/officeDocument/2006/relationships/header" Target="header1.xml"/><Relationship Id="rId49" Type="http://schemas.openxmlformats.org/officeDocument/2006/relationships/image" Target="media/image19.wmf"/><Relationship Id="rId48" Type="http://schemas.openxmlformats.org/officeDocument/2006/relationships/oleObject" Target="embeddings/oleObject6.bin"/><Relationship Id="rId47" Type="http://schemas.openxmlformats.org/officeDocument/2006/relationships/image" Target="media/image18.wmf"/><Relationship Id="rId46" Type="http://schemas.openxmlformats.org/officeDocument/2006/relationships/oleObject" Target="embeddings/oleObject5.bin"/><Relationship Id="rId45" Type="http://schemas.openxmlformats.org/officeDocument/2006/relationships/image" Target="media/image17.wmf"/><Relationship Id="rId44" Type="http://schemas.openxmlformats.org/officeDocument/2006/relationships/oleObject" Target="embeddings/oleObject4.bin"/><Relationship Id="rId43" Type="http://schemas.openxmlformats.org/officeDocument/2006/relationships/image" Target="media/image16.wmf"/><Relationship Id="rId42" Type="http://schemas.openxmlformats.org/officeDocument/2006/relationships/oleObject" Target="embeddings/oleObject3.bin"/><Relationship Id="rId41" Type="http://schemas.openxmlformats.org/officeDocument/2006/relationships/image" Target="media/image15.wmf"/><Relationship Id="rId40" Type="http://schemas.openxmlformats.org/officeDocument/2006/relationships/oleObject" Target="embeddings/oleObject2.bin"/><Relationship Id="rId4" Type="http://schemas.openxmlformats.org/officeDocument/2006/relationships/endnotes" Target="endnotes.xml"/><Relationship Id="rId39" Type="http://schemas.openxmlformats.org/officeDocument/2006/relationships/image" Target="media/image14.wmf"/><Relationship Id="rId38" Type="http://schemas.openxmlformats.org/officeDocument/2006/relationships/oleObject" Target="embeddings/oleObject1.bin"/><Relationship Id="rId37" Type="http://schemas.openxmlformats.org/officeDocument/2006/relationships/image" Target="media/image13.png"/><Relationship Id="rId36" Type="http://schemas.openxmlformats.org/officeDocument/2006/relationships/image" Target="media/image12.jpeg"/><Relationship Id="rId35" Type="http://schemas.openxmlformats.org/officeDocument/2006/relationships/image" Target="media/image11.png"/><Relationship Id="rId34" Type="http://schemas.openxmlformats.org/officeDocument/2006/relationships/image" Target="media/image10.png"/><Relationship Id="rId33" Type="http://schemas.microsoft.com/office/2007/relationships/hdphoto" Target="media/image9.wdp"/><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footnotes" Target="footnotes.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jpe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header" Target="header17.xml"/><Relationship Id="rId22" Type="http://schemas.openxmlformats.org/officeDocument/2006/relationships/header" Target="header16.xml"/><Relationship Id="rId21" Type="http://schemas.openxmlformats.org/officeDocument/2006/relationships/header" Target="header15.xml"/><Relationship Id="rId20" Type="http://schemas.openxmlformats.org/officeDocument/2006/relationships/header" Target="header14.xml"/><Relationship Id="rId2" Type="http://schemas.openxmlformats.org/officeDocument/2006/relationships/settings" Target="settings.xml"/><Relationship Id="rId19" Type="http://schemas.openxmlformats.org/officeDocument/2006/relationships/header" Target="header13.xml"/><Relationship Id="rId18" Type="http://schemas.openxmlformats.org/officeDocument/2006/relationships/header" Target="header12.xml"/><Relationship Id="rId17" Type="http://schemas.openxmlformats.org/officeDocument/2006/relationships/header" Target="header11.xml"/><Relationship Id="rId16" Type="http://schemas.openxmlformats.org/officeDocument/2006/relationships/header" Target="header10.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EA4D19-D83D-4E04-800C-FADDB36BF620}">
  <ds:schemaRefs/>
</ds:datastoreItem>
</file>

<file path=docProps/app.xml><?xml version="1.0" encoding="utf-8"?>
<Properties xmlns="http://schemas.openxmlformats.org/officeDocument/2006/extended-properties" xmlns:vt="http://schemas.openxmlformats.org/officeDocument/2006/docPropsVTypes">
  <Template>Normal</Template>
  <Pages>170</Pages>
  <Words>32838</Words>
  <Characters>37143</Characters>
  <Lines>2825</Lines>
  <Paragraphs>2500</Paragraphs>
  <TotalTime>0</TotalTime>
  <ScaleCrop>false</ScaleCrop>
  <LinksUpToDate>false</LinksUpToDate>
  <CharactersWithSpaces>37848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2023-05-12T01:35:00Z</dcterms:created>
  <dc:creator>郭旭宁</dc:creator>
  <cp:lastModifiedBy>✿．噯上、菳牜蓙． ❤</cp:lastModifiedBy>
  <cp:lastPrinted>2025-05-28T08:39:00Z</cp:lastPrinted>
  <dcterms:modified xsi:type="dcterms:W3CDTF">2025-07-23T07:38:53Z</dcterms:modified>
  <cp:revision>369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BE6F89FA213A40A7AC7F4FA06FD0D3CB_12</vt:lpwstr>
  </property>
  <property fmtid="{D5CDD505-2E9C-101B-9397-08002B2CF9AE}" pid="4" name="KSOTemplateDocerSaveRecord">
    <vt:lpwstr>eyJoZGlkIjoiNmQ0M2ZhZmE4ZmIwOWJiMWM1ZGEzMWFkMmYyYjcyNTEiLCJ1c2VySWQiOiIxMTQyMzQxMzI5In0=</vt:lpwstr>
  </property>
</Properties>
</file>